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72E044" w14:textId="77777777" w:rsidR="00023650" w:rsidRPr="00CD0C90" w:rsidRDefault="00023650" w:rsidP="00CD0C90">
      <w:pPr>
        <w:jc w:val="center"/>
        <w:rPr>
          <w:rFonts w:asciiTheme="majorHAnsi" w:hAnsiTheme="majorHAnsi" w:cstheme="majorHAnsi"/>
          <w:b/>
          <w:bCs/>
          <w:color w:val="D49E21"/>
          <w:sz w:val="52"/>
          <w:szCs w:val="52"/>
        </w:rPr>
      </w:pPr>
    </w:p>
    <w:p w14:paraId="13F3093F" w14:textId="1E31D2DB" w:rsidR="001B1C96" w:rsidRPr="00CD0C90" w:rsidRDefault="1E866460" w:rsidP="00CD0C90">
      <w:pPr>
        <w:jc w:val="center"/>
        <w:rPr>
          <w:rFonts w:asciiTheme="majorHAnsi" w:hAnsiTheme="majorHAnsi" w:cstheme="majorHAnsi"/>
          <w:b/>
          <w:bCs/>
          <w:color w:val="D49E21"/>
          <w:sz w:val="52"/>
          <w:szCs w:val="52"/>
        </w:rPr>
      </w:pPr>
      <w:r w:rsidRPr="00CD0C90">
        <w:rPr>
          <w:rFonts w:asciiTheme="majorHAnsi" w:hAnsiTheme="majorHAnsi" w:cstheme="majorHAnsi"/>
          <w:b/>
          <w:bCs/>
          <w:color w:val="D49E21"/>
          <w:sz w:val="52"/>
          <w:szCs w:val="52"/>
        </w:rPr>
        <w:t>PROYECTO DE INVERSIÓN - CÓDIGO BPIN 202400000000190</w:t>
      </w:r>
    </w:p>
    <w:p w14:paraId="7D0563BC" w14:textId="4CCCF210" w:rsidR="110633E4" w:rsidRPr="00CD0C90" w:rsidRDefault="110633E4" w:rsidP="00CD0C90">
      <w:pPr>
        <w:jc w:val="center"/>
        <w:rPr>
          <w:rFonts w:asciiTheme="majorHAnsi" w:hAnsiTheme="majorHAnsi" w:cstheme="majorHAnsi"/>
          <w:b/>
          <w:bCs/>
          <w:color w:val="D49E21"/>
          <w:sz w:val="52"/>
          <w:szCs w:val="52"/>
        </w:rPr>
      </w:pPr>
    </w:p>
    <w:p w14:paraId="5B4B3E72" w14:textId="55353DB4" w:rsidR="001B1C96" w:rsidRPr="00CD0C90" w:rsidRDefault="1E866460" w:rsidP="00CD0C90">
      <w:pPr>
        <w:jc w:val="center"/>
        <w:rPr>
          <w:rFonts w:asciiTheme="majorHAnsi" w:hAnsiTheme="majorHAnsi" w:cstheme="majorHAnsi"/>
          <w:b/>
          <w:bCs/>
          <w:color w:val="D49E21"/>
          <w:sz w:val="52"/>
          <w:szCs w:val="52"/>
        </w:rPr>
      </w:pPr>
      <w:r w:rsidRPr="00CD0C90">
        <w:rPr>
          <w:rFonts w:asciiTheme="majorHAnsi" w:hAnsiTheme="majorHAnsi" w:cstheme="majorHAnsi"/>
          <w:b/>
          <w:bCs/>
          <w:color w:val="D49E21"/>
          <w:sz w:val="52"/>
          <w:szCs w:val="52"/>
        </w:rPr>
        <w:t>FORTALECIMIENTO DEL ANÁLISIS ESTRATÉGICO SECTORIAL Y LEGISLATIVO DEL MINISTERIO DE MINAS Y ENERGÍA EN EL MARCO DE LA TRANSICIÓN ENERGÉTICA JUSTA</w:t>
      </w:r>
    </w:p>
    <w:p w14:paraId="62FC73C6" w14:textId="77777777" w:rsidR="001B1C96" w:rsidRPr="00CD0C90" w:rsidRDefault="001B1C96" w:rsidP="00CD0C90">
      <w:pPr>
        <w:jc w:val="center"/>
        <w:rPr>
          <w:rFonts w:asciiTheme="majorHAnsi" w:hAnsiTheme="majorHAnsi" w:cstheme="majorHAnsi"/>
          <w:b/>
          <w:bCs/>
          <w:sz w:val="52"/>
          <w:szCs w:val="52"/>
        </w:rPr>
      </w:pPr>
    </w:p>
    <w:p w14:paraId="3496B844" w14:textId="16B31EAE" w:rsidR="001B1C96" w:rsidRPr="00CD0C90" w:rsidRDefault="1E866460" w:rsidP="00CD0C90">
      <w:pPr>
        <w:jc w:val="center"/>
        <w:rPr>
          <w:rFonts w:asciiTheme="majorHAnsi" w:hAnsiTheme="majorHAnsi" w:cstheme="majorHAnsi"/>
          <w:b/>
          <w:bCs/>
          <w:color w:val="D49E21"/>
          <w:sz w:val="52"/>
          <w:szCs w:val="52"/>
        </w:rPr>
      </w:pPr>
      <w:r w:rsidRPr="00CD0C90">
        <w:rPr>
          <w:rFonts w:asciiTheme="majorHAnsi" w:hAnsiTheme="majorHAnsi" w:cstheme="majorHAnsi"/>
          <w:b/>
          <w:bCs/>
          <w:color w:val="D49E21"/>
          <w:sz w:val="52"/>
          <w:szCs w:val="52"/>
        </w:rPr>
        <w:t>GRUPO DE ASUNTOS LEGISLATIVOS – GAL</w:t>
      </w:r>
    </w:p>
    <w:p w14:paraId="20D79950" w14:textId="5421BB62" w:rsidR="001B1C96" w:rsidRPr="00CD0C90" w:rsidRDefault="568F8E0F" w:rsidP="00CD0C90">
      <w:pPr>
        <w:jc w:val="center"/>
        <w:rPr>
          <w:rFonts w:asciiTheme="majorHAnsi" w:hAnsiTheme="majorHAnsi" w:cstheme="majorHAnsi"/>
          <w:b/>
          <w:bCs/>
          <w:color w:val="D49E21"/>
          <w:sz w:val="52"/>
          <w:szCs w:val="52"/>
        </w:rPr>
      </w:pPr>
      <w:r w:rsidRPr="00CD0C90">
        <w:rPr>
          <w:rFonts w:asciiTheme="majorHAnsi" w:hAnsiTheme="majorHAnsi" w:cstheme="majorHAnsi"/>
          <w:b/>
          <w:bCs/>
          <w:color w:val="D49E21"/>
          <w:sz w:val="52"/>
          <w:szCs w:val="52"/>
        </w:rPr>
        <w:t xml:space="preserve">EJE LEGISLATIVO </w:t>
      </w:r>
    </w:p>
    <w:p w14:paraId="34EB84A0" w14:textId="3C66AEEC" w:rsidR="006919AE" w:rsidRPr="00CD0C90" w:rsidRDefault="1E866460" w:rsidP="00CD0C90">
      <w:pPr>
        <w:jc w:val="center"/>
        <w:rPr>
          <w:rFonts w:asciiTheme="majorHAnsi" w:hAnsiTheme="majorHAnsi" w:cstheme="majorHAnsi"/>
          <w:b/>
          <w:bCs/>
          <w:color w:val="D49E21"/>
          <w:sz w:val="52"/>
          <w:szCs w:val="52"/>
        </w:rPr>
      </w:pPr>
      <w:r w:rsidRPr="00CD0C90">
        <w:rPr>
          <w:rFonts w:asciiTheme="majorHAnsi" w:hAnsiTheme="majorHAnsi" w:cstheme="majorHAnsi"/>
          <w:b/>
          <w:bCs/>
          <w:color w:val="D49E21"/>
          <w:sz w:val="52"/>
          <w:szCs w:val="52"/>
        </w:rPr>
        <w:t>MINISTERIO DE MINAS Y ENERGÍA</w:t>
      </w:r>
    </w:p>
    <w:p w14:paraId="56603621" w14:textId="34CA5086" w:rsidR="006919AE" w:rsidRPr="00CD0C90" w:rsidRDefault="5B82F1A0" w:rsidP="00CD0C90">
      <w:pPr>
        <w:jc w:val="center"/>
        <w:rPr>
          <w:rFonts w:asciiTheme="majorHAnsi" w:hAnsiTheme="majorHAnsi" w:cstheme="majorHAnsi"/>
          <w:b/>
          <w:bCs/>
          <w:color w:val="D49E21"/>
          <w:sz w:val="52"/>
          <w:szCs w:val="52"/>
        </w:rPr>
      </w:pPr>
      <w:r w:rsidRPr="00CD0C90">
        <w:rPr>
          <w:rFonts w:asciiTheme="majorHAnsi" w:hAnsiTheme="majorHAnsi" w:cstheme="majorHAnsi"/>
          <w:b/>
          <w:bCs/>
          <w:color w:val="D49E21"/>
          <w:sz w:val="52"/>
          <w:szCs w:val="52"/>
        </w:rPr>
        <w:t>2026</w:t>
      </w:r>
    </w:p>
    <w:sdt>
      <w:sdtPr>
        <w:rPr>
          <w:rFonts w:asciiTheme="majorHAnsi" w:hAnsiTheme="majorHAnsi" w:cstheme="majorHAnsi"/>
          <w:b w:val="0"/>
          <w:bCs w:val="0"/>
          <w:color w:val="auto"/>
          <w:sz w:val="22"/>
          <w:szCs w:val="22"/>
          <w:lang w:val="es-MX"/>
        </w:rPr>
        <w:id w:val="-1978906243"/>
        <w:docPartObj>
          <w:docPartGallery w:val="Table of Contents"/>
          <w:docPartUnique/>
        </w:docPartObj>
      </w:sdtPr>
      <w:sdtEndPr/>
      <w:sdtContent>
        <w:p w14:paraId="7BFD57B4" w14:textId="3DA80C17" w:rsidR="00B676BC" w:rsidRPr="00CD0C90" w:rsidRDefault="00B676BC" w:rsidP="00CD0C90">
          <w:pPr>
            <w:pStyle w:val="Ttulo1"/>
            <w:spacing w:line="276" w:lineRule="auto"/>
            <w:jc w:val="left"/>
            <w:rPr>
              <w:rFonts w:asciiTheme="majorHAnsi" w:hAnsiTheme="majorHAnsi" w:cstheme="majorHAnsi"/>
              <w:sz w:val="22"/>
              <w:szCs w:val="22"/>
            </w:rPr>
          </w:pPr>
        </w:p>
        <w:p w14:paraId="547BC1BE" w14:textId="47FB5F3D" w:rsidR="003003CA" w:rsidRDefault="00B676BC">
          <w:pPr>
            <w:pStyle w:val="TDC1"/>
            <w:tabs>
              <w:tab w:val="right" w:leader="dot" w:pos="9394"/>
            </w:tabs>
            <w:rPr>
              <w:rFonts w:asciiTheme="minorHAnsi" w:eastAsiaTheme="minorEastAsia" w:hAnsiTheme="minorHAnsi" w:cstheme="minorBidi"/>
              <w:noProof/>
            </w:rPr>
          </w:pPr>
          <w:r w:rsidRPr="00CD0C90">
            <w:rPr>
              <w:rFonts w:asciiTheme="majorHAnsi" w:hAnsiTheme="majorHAnsi" w:cstheme="majorHAnsi"/>
            </w:rPr>
            <w:fldChar w:fldCharType="begin"/>
          </w:r>
          <w:r w:rsidRPr="00CD0C90">
            <w:rPr>
              <w:rFonts w:asciiTheme="majorHAnsi" w:hAnsiTheme="majorHAnsi" w:cstheme="majorHAnsi"/>
            </w:rPr>
            <w:instrText xml:space="preserve"> TOC \o "1-3" \h \z \u </w:instrText>
          </w:r>
          <w:r w:rsidRPr="00CD0C90">
            <w:rPr>
              <w:rFonts w:asciiTheme="majorHAnsi" w:hAnsiTheme="majorHAnsi" w:cstheme="majorHAnsi"/>
            </w:rPr>
            <w:fldChar w:fldCharType="separate"/>
          </w:r>
          <w:hyperlink w:anchor="_Toc234920339" w:history="1">
            <w:r w:rsidR="003003CA" w:rsidRPr="00E74A31">
              <w:rPr>
                <w:rStyle w:val="Hipervnculo"/>
                <w:rFonts w:asciiTheme="majorHAnsi" w:hAnsiTheme="majorHAnsi" w:cstheme="majorHAnsi"/>
                <w:noProof/>
              </w:rPr>
              <w:t>Introducción</w:t>
            </w:r>
            <w:r w:rsidR="003003CA">
              <w:rPr>
                <w:noProof/>
                <w:webHidden/>
              </w:rPr>
              <w:tab/>
            </w:r>
            <w:r w:rsidR="003003CA">
              <w:rPr>
                <w:noProof/>
                <w:webHidden/>
              </w:rPr>
              <w:fldChar w:fldCharType="begin"/>
            </w:r>
            <w:r w:rsidR="003003CA">
              <w:rPr>
                <w:noProof/>
                <w:webHidden/>
              </w:rPr>
              <w:instrText xml:space="preserve"> PAGEREF _Toc234920339 \h </w:instrText>
            </w:r>
            <w:r w:rsidR="003003CA">
              <w:rPr>
                <w:noProof/>
                <w:webHidden/>
              </w:rPr>
            </w:r>
            <w:r w:rsidR="003003CA">
              <w:rPr>
                <w:noProof/>
                <w:webHidden/>
              </w:rPr>
              <w:fldChar w:fldCharType="separate"/>
            </w:r>
            <w:r w:rsidR="003003CA">
              <w:rPr>
                <w:noProof/>
                <w:webHidden/>
              </w:rPr>
              <w:t>4</w:t>
            </w:r>
            <w:r w:rsidR="003003CA">
              <w:rPr>
                <w:noProof/>
                <w:webHidden/>
              </w:rPr>
              <w:fldChar w:fldCharType="end"/>
            </w:r>
          </w:hyperlink>
        </w:p>
        <w:p w14:paraId="2AC48751" w14:textId="319815ED" w:rsidR="003003CA" w:rsidRDefault="003003CA">
          <w:pPr>
            <w:pStyle w:val="TDC1"/>
            <w:tabs>
              <w:tab w:val="right" w:leader="dot" w:pos="9394"/>
            </w:tabs>
            <w:rPr>
              <w:rFonts w:asciiTheme="minorHAnsi" w:eastAsiaTheme="minorEastAsia" w:hAnsiTheme="minorHAnsi" w:cstheme="minorBidi"/>
              <w:noProof/>
            </w:rPr>
          </w:pPr>
          <w:hyperlink w:anchor="_Toc234920340" w:history="1">
            <w:r w:rsidRPr="00E74A31">
              <w:rPr>
                <w:rStyle w:val="Hipervnculo"/>
                <w:rFonts w:asciiTheme="majorHAnsi" w:hAnsiTheme="majorHAnsi" w:cstheme="majorHAnsi"/>
                <w:noProof/>
              </w:rPr>
              <w:t>Marco teórico</w:t>
            </w:r>
            <w:r>
              <w:rPr>
                <w:noProof/>
                <w:webHidden/>
              </w:rPr>
              <w:tab/>
            </w:r>
            <w:r>
              <w:rPr>
                <w:noProof/>
                <w:webHidden/>
              </w:rPr>
              <w:fldChar w:fldCharType="begin"/>
            </w:r>
            <w:r>
              <w:rPr>
                <w:noProof/>
                <w:webHidden/>
              </w:rPr>
              <w:instrText xml:space="preserve"> PAGEREF _Toc234920340 \h </w:instrText>
            </w:r>
            <w:r>
              <w:rPr>
                <w:noProof/>
                <w:webHidden/>
              </w:rPr>
            </w:r>
            <w:r>
              <w:rPr>
                <w:noProof/>
                <w:webHidden/>
              </w:rPr>
              <w:fldChar w:fldCharType="separate"/>
            </w:r>
            <w:r>
              <w:rPr>
                <w:noProof/>
                <w:webHidden/>
              </w:rPr>
              <w:t>5</w:t>
            </w:r>
            <w:r>
              <w:rPr>
                <w:noProof/>
                <w:webHidden/>
              </w:rPr>
              <w:fldChar w:fldCharType="end"/>
            </w:r>
          </w:hyperlink>
        </w:p>
        <w:p w14:paraId="5087FA7A" w14:textId="432CAE37" w:rsidR="003003CA" w:rsidRDefault="003003CA">
          <w:pPr>
            <w:pStyle w:val="TDC3"/>
            <w:tabs>
              <w:tab w:val="right" w:leader="dot" w:pos="9394"/>
            </w:tabs>
            <w:rPr>
              <w:rFonts w:asciiTheme="minorHAnsi" w:eastAsiaTheme="minorEastAsia" w:hAnsiTheme="minorHAnsi" w:cstheme="minorBidi"/>
              <w:noProof/>
            </w:rPr>
          </w:pPr>
          <w:hyperlink w:anchor="_Toc234920341" w:history="1">
            <w:r w:rsidRPr="00E74A31">
              <w:rPr>
                <w:rStyle w:val="Hipervnculo"/>
                <w:rFonts w:asciiTheme="majorHAnsi" w:hAnsiTheme="majorHAnsi" w:cstheme="majorHAnsi"/>
                <w:noProof/>
                <w:lang w:val="es-ES"/>
              </w:rPr>
              <w:t>Teoría de la separación de poderes</w:t>
            </w:r>
            <w:r>
              <w:rPr>
                <w:noProof/>
                <w:webHidden/>
              </w:rPr>
              <w:tab/>
            </w:r>
            <w:r>
              <w:rPr>
                <w:noProof/>
                <w:webHidden/>
              </w:rPr>
              <w:fldChar w:fldCharType="begin"/>
            </w:r>
            <w:r>
              <w:rPr>
                <w:noProof/>
                <w:webHidden/>
              </w:rPr>
              <w:instrText xml:space="preserve"> PAGEREF _Toc234920341 \h </w:instrText>
            </w:r>
            <w:r>
              <w:rPr>
                <w:noProof/>
                <w:webHidden/>
              </w:rPr>
            </w:r>
            <w:r>
              <w:rPr>
                <w:noProof/>
                <w:webHidden/>
              </w:rPr>
              <w:fldChar w:fldCharType="separate"/>
            </w:r>
            <w:r>
              <w:rPr>
                <w:noProof/>
                <w:webHidden/>
              </w:rPr>
              <w:t>5</w:t>
            </w:r>
            <w:r>
              <w:rPr>
                <w:noProof/>
                <w:webHidden/>
              </w:rPr>
              <w:fldChar w:fldCharType="end"/>
            </w:r>
          </w:hyperlink>
        </w:p>
        <w:p w14:paraId="0BA1022D" w14:textId="35CB920B" w:rsidR="003003CA" w:rsidRDefault="003003CA">
          <w:pPr>
            <w:pStyle w:val="TDC3"/>
            <w:tabs>
              <w:tab w:val="right" w:leader="dot" w:pos="9394"/>
            </w:tabs>
            <w:rPr>
              <w:rFonts w:asciiTheme="minorHAnsi" w:eastAsiaTheme="minorEastAsia" w:hAnsiTheme="minorHAnsi" w:cstheme="minorBidi"/>
              <w:noProof/>
            </w:rPr>
          </w:pPr>
          <w:hyperlink w:anchor="_Toc234920342" w:history="1">
            <w:r w:rsidRPr="00E74A31">
              <w:rPr>
                <w:rStyle w:val="Hipervnculo"/>
                <w:rFonts w:asciiTheme="majorHAnsi" w:hAnsiTheme="majorHAnsi" w:cstheme="majorHAnsi"/>
                <w:noProof/>
                <w:lang w:val="es-ES"/>
              </w:rPr>
              <w:t>Relación ejecutivo-legislativo</w:t>
            </w:r>
            <w:r>
              <w:rPr>
                <w:noProof/>
                <w:webHidden/>
              </w:rPr>
              <w:tab/>
            </w:r>
            <w:r>
              <w:rPr>
                <w:noProof/>
                <w:webHidden/>
              </w:rPr>
              <w:fldChar w:fldCharType="begin"/>
            </w:r>
            <w:r>
              <w:rPr>
                <w:noProof/>
                <w:webHidden/>
              </w:rPr>
              <w:instrText xml:space="preserve"> PAGEREF _Toc234920342 \h </w:instrText>
            </w:r>
            <w:r>
              <w:rPr>
                <w:noProof/>
                <w:webHidden/>
              </w:rPr>
            </w:r>
            <w:r>
              <w:rPr>
                <w:noProof/>
                <w:webHidden/>
              </w:rPr>
              <w:fldChar w:fldCharType="separate"/>
            </w:r>
            <w:r>
              <w:rPr>
                <w:noProof/>
                <w:webHidden/>
              </w:rPr>
              <w:t>6</w:t>
            </w:r>
            <w:r>
              <w:rPr>
                <w:noProof/>
                <w:webHidden/>
              </w:rPr>
              <w:fldChar w:fldCharType="end"/>
            </w:r>
          </w:hyperlink>
        </w:p>
        <w:p w14:paraId="3ADD2262" w14:textId="0944C2CE" w:rsidR="003003CA" w:rsidRDefault="003003CA">
          <w:pPr>
            <w:pStyle w:val="TDC3"/>
            <w:tabs>
              <w:tab w:val="right" w:leader="dot" w:pos="9394"/>
            </w:tabs>
            <w:rPr>
              <w:rFonts w:asciiTheme="minorHAnsi" w:eastAsiaTheme="minorEastAsia" w:hAnsiTheme="minorHAnsi" w:cstheme="minorBidi"/>
              <w:noProof/>
            </w:rPr>
          </w:pPr>
          <w:hyperlink w:anchor="_Toc234920343" w:history="1">
            <w:r w:rsidRPr="00E74A31">
              <w:rPr>
                <w:rStyle w:val="Hipervnculo"/>
                <w:noProof/>
              </w:rPr>
              <w:t>Teoría de veto players</w:t>
            </w:r>
            <w:r>
              <w:rPr>
                <w:noProof/>
                <w:webHidden/>
              </w:rPr>
              <w:tab/>
            </w:r>
            <w:r>
              <w:rPr>
                <w:noProof/>
                <w:webHidden/>
              </w:rPr>
              <w:fldChar w:fldCharType="begin"/>
            </w:r>
            <w:r>
              <w:rPr>
                <w:noProof/>
                <w:webHidden/>
              </w:rPr>
              <w:instrText xml:space="preserve"> PAGEREF _Toc234920343 \h </w:instrText>
            </w:r>
            <w:r>
              <w:rPr>
                <w:noProof/>
                <w:webHidden/>
              </w:rPr>
            </w:r>
            <w:r>
              <w:rPr>
                <w:noProof/>
                <w:webHidden/>
              </w:rPr>
              <w:fldChar w:fldCharType="separate"/>
            </w:r>
            <w:r>
              <w:rPr>
                <w:noProof/>
                <w:webHidden/>
              </w:rPr>
              <w:t>9</w:t>
            </w:r>
            <w:r>
              <w:rPr>
                <w:noProof/>
                <w:webHidden/>
              </w:rPr>
              <w:fldChar w:fldCharType="end"/>
            </w:r>
          </w:hyperlink>
        </w:p>
        <w:p w14:paraId="507CDF9E" w14:textId="01AF63E0" w:rsidR="003003CA" w:rsidRDefault="003003CA">
          <w:pPr>
            <w:pStyle w:val="TDC3"/>
            <w:tabs>
              <w:tab w:val="right" w:leader="dot" w:pos="9394"/>
            </w:tabs>
            <w:rPr>
              <w:rFonts w:asciiTheme="minorHAnsi" w:eastAsiaTheme="minorEastAsia" w:hAnsiTheme="minorHAnsi" w:cstheme="minorBidi"/>
              <w:noProof/>
            </w:rPr>
          </w:pPr>
          <w:hyperlink w:anchor="_Toc234920344" w:history="1">
            <w:r w:rsidRPr="00E74A31">
              <w:rPr>
                <w:rStyle w:val="Hipervnculo"/>
                <w:rFonts w:asciiTheme="majorHAnsi" w:hAnsiTheme="majorHAnsi" w:cstheme="majorHAnsi"/>
                <w:noProof/>
                <w:lang w:val="es-ES"/>
              </w:rPr>
              <w:t>Análisis de política pública</w:t>
            </w:r>
            <w:r>
              <w:rPr>
                <w:noProof/>
                <w:webHidden/>
              </w:rPr>
              <w:tab/>
            </w:r>
            <w:r>
              <w:rPr>
                <w:noProof/>
                <w:webHidden/>
              </w:rPr>
              <w:fldChar w:fldCharType="begin"/>
            </w:r>
            <w:r>
              <w:rPr>
                <w:noProof/>
                <w:webHidden/>
              </w:rPr>
              <w:instrText xml:space="preserve"> PAGEREF _Toc234920344 \h </w:instrText>
            </w:r>
            <w:r>
              <w:rPr>
                <w:noProof/>
                <w:webHidden/>
              </w:rPr>
            </w:r>
            <w:r>
              <w:rPr>
                <w:noProof/>
                <w:webHidden/>
              </w:rPr>
              <w:fldChar w:fldCharType="separate"/>
            </w:r>
            <w:r>
              <w:rPr>
                <w:noProof/>
                <w:webHidden/>
              </w:rPr>
              <w:t>9</w:t>
            </w:r>
            <w:r>
              <w:rPr>
                <w:noProof/>
                <w:webHidden/>
              </w:rPr>
              <w:fldChar w:fldCharType="end"/>
            </w:r>
          </w:hyperlink>
        </w:p>
        <w:p w14:paraId="619B9E51" w14:textId="7089448C" w:rsidR="003003CA" w:rsidRDefault="003003CA">
          <w:pPr>
            <w:pStyle w:val="TDC1"/>
            <w:tabs>
              <w:tab w:val="right" w:leader="dot" w:pos="9394"/>
            </w:tabs>
            <w:rPr>
              <w:rFonts w:asciiTheme="minorHAnsi" w:eastAsiaTheme="minorEastAsia" w:hAnsiTheme="minorHAnsi" w:cstheme="minorBidi"/>
              <w:noProof/>
            </w:rPr>
          </w:pPr>
          <w:hyperlink w:anchor="_Toc234920345" w:history="1">
            <w:r w:rsidRPr="00E74A31">
              <w:rPr>
                <w:rStyle w:val="Hipervnculo"/>
                <w:rFonts w:asciiTheme="majorHAnsi" w:hAnsiTheme="majorHAnsi" w:cstheme="majorHAnsi"/>
                <w:noProof/>
              </w:rPr>
              <w:t>Marco conceptual</w:t>
            </w:r>
            <w:r>
              <w:rPr>
                <w:noProof/>
                <w:webHidden/>
              </w:rPr>
              <w:tab/>
            </w:r>
            <w:r>
              <w:rPr>
                <w:noProof/>
                <w:webHidden/>
              </w:rPr>
              <w:fldChar w:fldCharType="begin"/>
            </w:r>
            <w:r>
              <w:rPr>
                <w:noProof/>
                <w:webHidden/>
              </w:rPr>
              <w:instrText xml:space="preserve"> PAGEREF _Toc234920345 \h </w:instrText>
            </w:r>
            <w:r>
              <w:rPr>
                <w:noProof/>
                <w:webHidden/>
              </w:rPr>
            </w:r>
            <w:r>
              <w:rPr>
                <w:noProof/>
                <w:webHidden/>
              </w:rPr>
              <w:fldChar w:fldCharType="separate"/>
            </w:r>
            <w:r>
              <w:rPr>
                <w:noProof/>
                <w:webHidden/>
              </w:rPr>
              <w:t>11</w:t>
            </w:r>
            <w:r>
              <w:rPr>
                <w:noProof/>
                <w:webHidden/>
              </w:rPr>
              <w:fldChar w:fldCharType="end"/>
            </w:r>
          </w:hyperlink>
        </w:p>
        <w:p w14:paraId="2A15752D" w14:textId="13A88D1A" w:rsidR="003003CA" w:rsidRDefault="003003CA">
          <w:pPr>
            <w:pStyle w:val="TDC1"/>
            <w:tabs>
              <w:tab w:val="right" w:leader="dot" w:pos="9394"/>
            </w:tabs>
            <w:rPr>
              <w:rFonts w:asciiTheme="minorHAnsi" w:eastAsiaTheme="minorEastAsia" w:hAnsiTheme="minorHAnsi" w:cstheme="minorBidi"/>
              <w:noProof/>
            </w:rPr>
          </w:pPr>
          <w:hyperlink w:anchor="_Toc234920346" w:history="1">
            <w:r w:rsidRPr="00E74A31">
              <w:rPr>
                <w:rStyle w:val="Hipervnculo"/>
                <w:rFonts w:asciiTheme="majorHAnsi" w:hAnsiTheme="majorHAnsi" w:cstheme="majorHAnsi"/>
                <w:noProof/>
              </w:rPr>
              <w:t>Marco normativo</w:t>
            </w:r>
            <w:r>
              <w:rPr>
                <w:noProof/>
                <w:webHidden/>
              </w:rPr>
              <w:tab/>
            </w:r>
            <w:r>
              <w:rPr>
                <w:noProof/>
                <w:webHidden/>
              </w:rPr>
              <w:fldChar w:fldCharType="begin"/>
            </w:r>
            <w:r>
              <w:rPr>
                <w:noProof/>
                <w:webHidden/>
              </w:rPr>
              <w:instrText xml:space="preserve"> PAGEREF _Toc234920346 \h </w:instrText>
            </w:r>
            <w:r>
              <w:rPr>
                <w:noProof/>
                <w:webHidden/>
              </w:rPr>
            </w:r>
            <w:r>
              <w:rPr>
                <w:noProof/>
                <w:webHidden/>
              </w:rPr>
              <w:fldChar w:fldCharType="separate"/>
            </w:r>
            <w:r>
              <w:rPr>
                <w:noProof/>
                <w:webHidden/>
              </w:rPr>
              <w:t>14</w:t>
            </w:r>
            <w:r>
              <w:rPr>
                <w:noProof/>
                <w:webHidden/>
              </w:rPr>
              <w:fldChar w:fldCharType="end"/>
            </w:r>
          </w:hyperlink>
        </w:p>
        <w:p w14:paraId="143CFA78" w14:textId="23A8472C" w:rsidR="003003CA" w:rsidRDefault="003003CA">
          <w:pPr>
            <w:pStyle w:val="TDC1"/>
            <w:tabs>
              <w:tab w:val="right" w:leader="dot" w:pos="9394"/>
            </w:tabs>
            <w:rPr>
              <w:rFonts w:asciiTheme="minorHAnsi" w:eastAsiaTheme="minorEastAsia" w:hAnsiTheme="minorHAnsi" w:cstheme="minorBidi"/>
              <w:noProof/>
            </w:rPr>
          </w:pPr>
          <w:hyperlink w:anchor="_Toc234920347" w:history="1">
            <w:r w:rsidRPr="00E74A31">
              <w:rPr>
                <w:rStyle w:val="Hipervnculo"/>
                <w:rFonts w:asciiTheme="majorHAnsi" w:hAnsiTheme="majorHAnsi" w:cstheme="majorHAnsi"/>
                <w:noProof/>
              </w:rPr>
              <w:t>Justificación</w:t>
            </w:r>
            <w:r>
              <w:rPr>
                <w:noProof/>
                <w:webHidden/>
              </w:rPr>
              <w:tab/>
            </w:r>
            <w:r>
              <w:rPr>
                <w:noProof/>
                <w:webHidden/>
              </w:rPr>
              <w:fldChar w:fldCharType="begin"/>
            </w:r>
            <w:r>
              <w:rPr>
                <w:noProof/>
                <w:webHidden/>
              </w:rPr>
              <w:instrText xml:space="preserve"> PAGEREF _Toc234920347 \h </w:instrText>
            </w:r>
            <w:r>
              <w:rPr>
                <w:noProof/>
                <w:webHidden/>
              </w:rPr>
            </w:r>
            <w:r>
              <w:rPr>
                <w:noProof/>
                <w:webHidden/>
              </w:rPr>
              <w:fldChar w:fldCharType="separate"/>
            </w:r>
            <w:r>
              <w:rPr>
                <w:noProof/>
                <w:webHidden/>
              </w:rPr>
              <w:t>15</w:t>
            </w:r>
            <w:r>
              <w:rPr>
                <w:noProof/>
                <w:webHidden/>
              </w:rPr>
              <w:fldChar w:fldCharType="end"/>
            </w:r>
          </w:hyperlink>
        </w:p>
        <w:p w14:paraId="02618D23" w14:textId="1C74BECE" w:rsidR="003003CA" w:rsidRDefault="003003CA">
          <w:pPr>
            <w:pStyle w:val="TDC1"/>
            <w:tabs>
              <w:tab w:val="right" w:leader="dot" w:pos="9394"/>
            </w:tabs>
            <w:rPr>
              <w:rFonts w:asciiTheme="minorHAnsi" w:eastAsiaTheme="minorEastAsia" w:hAnsiTheme="minorHAnsi" w:cstheme="minorBidi"/>
              <w:noProof/>
            </w:rPr>
          </w:pPr>
          <w:hyperlink w:anchor="_Toc234920348" w:history="1">
            <w:r w:rsidRPr="00E74A31">
              <w:rPr>
                <w:rStyle w:val="Hipervnculo"/>
                <w:rFonts w:asciiTheme="majorHAnsi" w:hAnsiTheme="majorHAnsi" w:cstheme="majorHAnsi"/>
                <w:noProof/>
              </w:rPr>
              <w:t>Problemática</w:t>
            </w:r>
            <w:r>
              <w:rPr>
                <w:noProof/>
                <w:webHidden/>
              </w:rPr>
              <w:tab/>
            </w:r>
            <w:r>
              <w:rPr>
                <w:noProof/>
                <w:webHidden/>
              </w:rPr>
              <w:fldChar w:fldCharType="begin"/>
            </w:r>
            <w:r>
              <w:rPr>
                <w:noProof/>
                <w:webHidden/>
              </w:rPr>
              <w:instrText xml:space="preserve"> PAGEREF _Toc234920348 \h </w:instrText>
            </w:r>
            <w:r>
              <w:rPr>
                <w:noProof/>
                <w:webHidden/>
              </w:rPr>
            </w:r>
            <w:r>
              <w:rPr>
                <w:noProof/>
                <w:webHidden/>
              </w:rPr>
              <w:fldChar w:fldCharType="separate"/>
            </w:r>
            <w:r>
              <w:rPr>
                <w:noProof/>
                <w:webHidden/>
              </w:rPr>
              <w:t>16</w:t>
            </w:r>
            <w:r>
              <w:rPr>
                <w:noProof/>
                <w:webHidden/>
              </w:rPr>
              <w:fldChar w:fldCharType="end"/>
            </w:r>
          </w:hyperlink>
        </w:p>
        <w:p w14:paraId="73702C63" w14:textId="34A9F12F" w:rsidR="003003CA" w:rsidRDefault="003003CA">
          <w:pPr>
            <w:pStyle w:val="TDC1"/>
            <w:tabs>
              <w:tab w:val="right" w:leader="dot" w:pos="9394"/>
            </w:tabs>
            <w:rPr>
              <w:rFonts w:asciiTheme="minorHAnsi" w:eastAsiaTheme="minorEastAsia" w:hAnsiTheme="minorHAnsi" w:cstheme="minorBidi"/>
              <w:noProof/>
            </w:rPr>
          </w:pPr>
          <w:hyperlink w:anchor="_Toc234920349" w:history="1">
            <w:r w:rsidRPr="00E74A31">
              <w:rPr>
                <w:rStyle w:val="Hipervnculo"/>
                <w:rFonts w:asciiTheme="majorHAnsi" w:hAnsiTheme="majorHAnsi" w:cstheme="majorHAnsi"/>
                <w:noProof/>
              </w:rPr>
              <w:t>Hipótesis</w:t>
            </w:r>
            <w:r>
              <w:rPr>
                <w:noProof/>
                <w:webHidden/>
              </w:rPr>
              <w:tab/>
            </w:r>
            <w:r>
              <w:rPr>
                <w:noProof/>
                <w:webHidden/>
              </w:rPr>
              <w:fldChar w:fldCharType="begin"/>
            </w:r>
            <w:r>
              <w:rPr>
                <w:noProof/>
                <w:webHidden/>
              </w:rPr>
              <w:instrText xml:space="preserve"> PAGEREF _Toc234920349 \h </w:instrText>
            </w:r>
            <w:r>
              <w:rPr>
                <w:noProof/>
                <w:webHidden/>
              </w:rPr>
            </w:r>
            <w:r>
              <w:rPr>
                <w:noProof/>
                <w:webHidden/>
              </w:rPr>
              <w:fldChar w:fldCharType="separate"/>
            </w:r>
            <w:r>
              <w:rPr>
                <w:noProof/>
                <w:webHidden/>
              </w:rPr>
              <w:t>17</w:t>
            </w:r>
            <w:r>
              <w:rPr>
                <w:noProof/>
                <w:webHidden/>
              </w:rPr>
              <w:fldChar w:fldCharType="end"/>
            </w:r>
          </w:hyperlink>
        </w:p>
        <w:p w14:paraId="3163C668" w14:textId="7BAC7AF7" w:rsidR="003003CA" w:rsidRDefault="003003CA">
          <w:pPr>
            <w:pStyle w:val="TDC1"/>
            <w:tabs>
              <w:tab w:val="right" w:leader="dot" w:pos="9394"/>
            </w:tabs>
            <w:rPr>
              <w:rFonts w:asciiTheme="minorHAnsi" w:eastAsiaTheme="minorEastAsia" w:hAnsiTheme="minorHAnsi" w:cstheme="minorBidi"/>
              <w:noProof/>
            </w:rPr>
          </w:pPr>
          <w:hyperlink w:anchor="_Toc234920350" w:history="1">
            <w:r w:rsidRPr="00E74A31">
              <w:rPr>
                <w:rStyle w:val="Hipervnculo"/>
                <w:rFonts w:asciiTheme="majorHAnsi" w:hAnsiTheme="majorHAnsi" w:cstheme="majorHAnsi"/>
                <w:noProof/>
              </w:rPr>
              <w:t>Objetivos</w:t>
            </w:r>
            <w:r>
              <w:rPr>
                <w:noProof/>
                <w:webHidden/>
              </w:rPr>
              <w:tab/>
            </w:r>
            <w:r>
              <w:rPr>
                <w:noProof/>
                <w:webHidden/>
              </w:rPr>
              <w:fldChar w:fldCharType="begin"/>
            </w:r>
            <w:r>
              <w:rPr>
                <w:noProof/>
                <w:webHidden/>
              </w:rPr>
              <w:instrText xml:space="preserve"> PAGEREF _Toc234920350 \h </w:instrText>
            </w:r>
            <w:r>
              <w:rPr>
                <w:noProof/>
                <w:webHidden/>
              </w:rPr>
            </w:r>
            <w:r>
              <w:rPr>
                <w:noProof/>
                <w:webHidden/>
              </w:rPr>
              <w:fldChar w:fldCharType="separate"/>
            </w:r>
            <w:r>
              <w:rPr>
                <w:noProof/>
                <w:webHidden/>
              </w:rPr>
              <w:t>17</w:t>
            </w:r>
            <w:r>
              <w:rPr>
                <w:noProof/>
                <w:webHidden/>
              </w:rPr>
              <w:fldChar w:fldCharType="end"/>
            </w:r>
          </w:hyperlink>
        </w:p>
        <w:p w14:paraId="5BBF58AC" w14:textId="663CFFBB" w:rsidR="003003CA" w:rsidRDefault="003003CA">
          <w:pPr>
            <w:pStyle w:val="TDC3"/>
            <w:tabs>
              <w:tab w:val="right" w:leader="dot" w:pos="9394"/>
            </w:tabs>
            <w:rPr>
              <w:rFonts w:asciiTheme="minorHAnsi" w:eastAsiaTheme="minorEastAsia" w:hAnsiTheme="minorHAnsi" w:cstheme="minorBidi"/>
              <w:noProof/>
            </w:rPr>
          </w:pPr>
          <w:hyperlink w:anchor="_Toc234920351" w:history="1">
            <w:r w:rsidRPr="00E74A31">
              <w:rPr>
                <w:rStyle w:val="Hipervnculo"/>
                <w:rFonts w:asciiTheme="majorHAnsi" w:hAnsiTheme="majorHAnsi" w:cstheme="majorHAnsi"/>
                <w:noProof/>
              </w:rPr>
              <w:t>General</w:t>
            </w:r>
            <w:r>
              <w:rPr>
                <w:noProof/>
                <w:webHidden/>
              </w:rPr>
              <w:tab/>
            </w:r>
            <w:r>
              <w:rPr>
                <w:noProof/>
                <w:webHidden/>
              </w:rPr>
              <w:fldChar w:fldCharType="begin"/>
            </w:r>
            <w:r>
              <w:rPr>
                <w:noProof/>
                <w:webHidden/>
              </w:rPr>
              <w:instrText xml:space="preserve"> PAGEREF _Toc234920351 \h </w:instrText>
            </w:r>
            <w:r>
              <w:rPr>
                <w:noProof/>
                <w:webHidden/>
              </w:rPr>
            </w:r>
            <w:r>
              <w:rPr>
                <w:noProof/>
                <w:webHidden/>
              </w:rPr>
              <w:fldChar w:fldCharType="separate"/>
            </w:r>
            <w:r>
              <w:rPr>
                <w:noProof/>
                <w:webHidden/>
              </w:rPr>
              <w:t>17</w:t>
            </w:r>
            <w:r>
              <w:rPr>
                <w:noProof/>
                <w:webHidden/>
              </w:rPr>
              <w:fldChar w:fldCharType="end"/>
            </w:r>
          </w:hyperlink>
        </w:p>
        <w:p w14:paraId="56B9B6F8" w14:textId="73CE1B8C" w:rsidR="003003CA" w:rsidRDefault="003003CA">
          <w:pPr>
            <w:pStyle w:val="TDC3"/>
            <w:tabs>
              <w:tab w:val="right" w:leader="dot" w:pos="9394"/>
            </w:tabs>
            <w:rPr>
              <w:rFonts w:asciiTheme="minorHAnsi" w:eastAsiaTheme="minorEastAsia" w:hAnsiTheme="minorHAnsi" w:cstheme="minorBidi"/>
              <w:noProof/>
            </w:rPr>
          </w:pPr>
          <w:hyperlink w:anchor="_Toc234920352" w:history="1">
            <w:r w:rsidRPr="00E74A31">
              <w:rPr>
                <w:rStyle w:val="Hipervnculo"/>
                <w:rFonts w:asciiTheme="majorHAnsi" w:hAnsiTheme="majorHAnsi" w:cstheme="majorHAnsi"/>
                <w:noProof/>
              </w:rPr>
              <w:t>Específicos</w:t>
            </w:r>
            <w:r>
              <w:rPr>
                <w:noProof/>
                <w:webHidden/>
              </w:rPr>
              <w:tab/>
            </w:r>
            <w:r>
              <w:rPr>
                <w:noProof/>
                <w:webHidden/>
              </w:rPr>
              <w:fldChar w:fldCharType="begin"/>
            </w:r>
            <w:r>
              <w:rPr>
                <w:noProof/>
                <w:webHidden/>
              </w:rPr>
              <w:instrText xml:space="preserve"> PAGEREF _Toc234920352 \h </w:instrText>
            </w:r>
            <w:r>
              <w:rPr>
                <w:noProof/>
                <w:webHidden/>
              </w:rPr>
            </w:r>
            <w:r>
              <w:rPr>
                <w:noProof/>
                <w:webHidden/>
              </w:rPr>
              <w:fldChar w:fldCharType="separate"/>
            </w:r>
            <w:r>
              <w:rPr>
                <w:noProof/>
                <w:webHidden/>
              </w:rPr>
              <w:t>17</w:t>
            </w:r>
            <w:r>
              <w:rPr>
                <w:noProof/>
                <w:webHidden/>
              </w:rPr>
              <w:fldChar w:fldCharType="end"/>
            </w:r>
          </w:hyperlink>
        </w:p>
        <w:p w14:paraId="2DAD24EE" w14:textId="53637F1D" w:rsidR="003003CA" w:rsidRDefault="003003CA">
          <w:pPr>
            <w:pStyle w:val="TDC1"/>
            <w:tabs>
              <w:tab w:val="right" w:leader="dot" w:pos="9394"/>
            </w:tabs>
            <w:rPr>
              <w:rFonts w:asciiTheme="minorHAnsi" w:eastAsiaTheme="minorEastAsia" w:hAnsiTheme="minorHAnsi" w:cstheme="minorBidi"/>
              <w:noProof/>
            </w:rPr>
          </w:pPr>
          <w:hyperlink w:anchor="_Toc234920353" w:history="1">
            <w:r w:rsidRPr="00E74A31">
              <w:rPr>
                <w:rStyle w:val="Hipervnculo"/>
                <w:rFonts w:asciiTheme="majorHAnsi" w:hAnsiTheme="majorHAnsi" w:cstheme="majorHAnsi"/>
                <w:noProof/>
              </w:rPr>
              <w:t>Metodología</w:t>
            </w:r>
            <w:r>
              <w:rPr>
                <w:noProof/>
                <w:webHidden/>
              </w:rPr>
              <w:tab/>
            </w:r>
            <w:r>
              <w:rPr>
                <w:noProof/>
                <w:webHidden/>
              </w:rPr>
              <w:fldChar w:fldCharType="begin"/>
            </w:r>
            <w:r>
              <w:rPr>
                <w:noProof/>
                <w:webHidden/>
              </w:rPr>
              <w:instrText xml:space="preserve"> PAGEREF _Toc234920353 \h </w:instrText>
            </w:r>
            <w:r>
              <w:rPr>
                <w:noProof/>
                <w:webHidden/>
              </w:rPr>
            </w:r>
            <w:r>
              <w:rPr>
                <w:noProof/>
                <w:webHidden/>
              </w:rPr>
              <w:fldChar w:fldCharType="separate"/>
            </w:r>
            <w:r>
              <w:rPr>
                <w:noProof/>
                <w:webHidden/>
              </w:rPr>
              <w:t>17</w:t>
            </w:r>
            <w:r>
              <w:rPr>
                <w:noProof/>
                <w:webHidden/>
              </w:rPr>
              <w:fldChar w:fldCharType="end"/>
            </w:r>
          </w:hyperlink>
        </w:p>
        <w:p w14:paraId="666E9A52" w14:textId="1F250902" w:rsidR="003003CA" w:rsidRDefault="003003CA">
          <w:pPr>
            <w:pStyle w:val="TDC1"/>
            <w:tabs>
              <w:tab w:val="right" w:leader="dot" w:pos="9394"/>
            </w:tabs>
            <w:rPr>
              <w:rFonts w:asciiTheme="minorHAnsi" w:eastAsiaTheme="minorEastAsia" w:hAnsiTheme="minorHAnsi" w:cstheme="minorBidi"/>
              <w:noProof/>
            </w:rPr>
          </w:pPr>
          <w:hyperlink w:anchor="_Toc234920354" w:history="1">
            <w:r w:rsidRPr="00E74A31">
              <w:rPr>
                <w:rStyle w:val="Hipervnculo"/>
                <w:rFonts w:asciiTheme="majorHAnsi" w:hAnsiTheme="majorHAnsi" w:cstheme="majorHAnsi"/>
                <w:noProof/>
              </w:rPr>
              <w:t>Capítulo 1. Relación entre el Ministerio de Minas y Energía y el Congreso de la República</w:t>
            </w:r>
            <w:r>
              <w:rPr>
                <w:noProof/>
                <w:webHidden/>
              </w:rPr>
              <w:tab/>
            </w:r>
            <w:r>
              <w:rPr>
                <w:noProof/>
                <w:webHidden/>
              </w:rPr>
              <w:fldChar w:fldCharType="begin"/>
            </w:r>
            <w:r>
              <w:rPr>
                <w:noProof/>
                <w:webHidden/>
              </w:rPr>
              <w:instrText xml:space="preserve"> PAGEREF _Toc234920354 \h </w:instrText>
            </w:r>
            <w:r>
              <w:rPr>
                <w:noProof/>
                <w:webHidden/>
              </w:rPr>
            </w:r>
            <w:r>
              <w:rPr>
                <w:noProof/>
                <w:webHidden/>
              </w:rPr>
              <w:fldChar w:fldCharType="separate"/>
            </w:r>
            <w:r>
              <w:rPr>
                <w:noProof/>
                <w:webHidden/>
              </w:rPr>
              <w:t>19</w:t>
            </w:r>
            <w:r>
              <w:rPr>
                <w:noProof/>
                <w:webHidden/>
              </w:rPr>
              <w:fldChar w:fldCharType="end"/>
            </w:r>
          </w:hyperlink>
        </w:p>
        <w:p w14:paraId="3C233027" w14:textId="188A31FC" w:rsidR="003003CA" w:rsidRDefault="003003CA">
          <w:pPr>
            <w:pStyle w:val="TDC2"/>
            <w:tabs>
              <w:tab w:val="right" w:leader="dot" w:pos="9394"/>
            </w:tabs>
            <w:rPr>
              <w:rFonts w:asciiTheme="minorHAnsi" w:eastAsiaTheme="minorEastAsia" w:hAnsiTheme="minorHAnsi" w:cstheme="minorBidi"/>
              <w:noProof/>
            </w:rPr>
          </w:pPr>
          <w:hyperlink w:anchor="_Toc234920355" w:history="1">
            <w:r w:rsidRPr="00E74A31">
              <w:rPr>
                <w:rStyle w:val="Hipervnculo"/>
                <w:rFonts w:asciiTheme="majorHAnsi" w:hAnsiTheme="majorHAnsi" w:cstheme="majorHAnsi"/>
                <w:noProof/>
              </w:rPr>
              <w:t>1.1 Caso colombiano</w:t>
            </w:r>
            <w:r>
              <w:rPr>
                <w:noProof/>
                <w:webHidden/>
              </w:rPr>
              <w:tab/>
            </w:r>
            <w:r>
              <w:rPr>
                <w:noProof/>
                <w:webHidden/>
              </w:rPr>
              <w:fldChar w:fldCharType="begin"/>
            </w:r>
            <w:r>
              <w:rPr>
                <w:noProof/>
                <w:webHidden/>
              </w:rPr>
              <w:instrText xml:space="preserve"> PAGEREF _Toc234920355 \h </w:instrText>
            </w:r>
            <w:r>
              <w:rPr>
                <w:noProof/>
                <w:webHidden/>
              </w:rPr>
            </w:r>
            <w:r>
              <w:rPr>
                <w:noProof/>
                <w:webHidden/>
              </w:rPr>
              <w:fldChar w:fldCharType="separate"/>
            </w:r>
            <w:r>
              <w:rPr>
                <w:noProof/>
                <w:webHidden/>
              </w:rPr>
              <w:t>19</w:t>
            </w:r>
            <w:r>
              <w:rPr>
                <w:noProof/>
                <w:webHidden/>
              </w:rPr>
              <w:fldChar w:fldCharType="end"/>
            </w:r>
          </w:hyperlink>
        </w:p>
        <w:p w14:paraId="2CFB2561" w14:textId="0667B480" w:rsidR="003003CA" w:rsidRDefault="003003CA">
          <w:pPr>
            <w:pStyle w:val="TDC3"/>
            <w:tabs>
              <w:tab w:val="right" w:leader="dot" w:pos="9394"/>
            </w:tabs>
            <w:rPr>
              <w:rFonts w:asciiTheme="minorHAnsi" w:eastAsiaTheme="minorEastAsia" w:hAnsiTheme="minorHAnsi" w:cstheme="minorBidi"/>
              <w:noProof/>
            </w:rPr>
          </w:pPr>
          <w:hyperlink w:anchor="_Toc234920356" w:history="1">
            <w:r w:rsidRPr="00E74A31">
              <w:rPr>
                <w:rStyle w:val="Hipervnculo"/>
                <w:rFonts w:asciiTheme="majorHAnsi" w:hAnsiTheme="majorHAnsi" w:cstheme="majorHAnsi"/>
                <w:noProof/>
                <w:lang w:val="es-ES"/>
              </w:rPr>
              <w:t>1.1.1 Contexto Institucional</w:t>
            </w:r>
            <w:r>
              <w:rPr>
                <w:noProof/>
                <w:webHidden/>
              </w:rPr>
              <w:tab/>
            </w:r>
            <w:r>
              <w:rPr>
                <w:noProof/>
                <w:webHidden/>
              </w:rPr>
              <w:fldChar w:fldCharType="begin"/>
            </w:r>
            <w:r>
              <w:rPr>
                <w:noProof/>
                <w:webHidden/>
              </w:rPr>
              <w:instrText xml:space="preserve"> PAGEREF _Toc234920356 \h </w:instrText>
            </w:r>
            <w:r>
              <w:rPr>
                <w:noProof/>
                <w:webHidden/>
              </w:rPr>
            </w:r>
            <w:r>
              <w:rPr>
                <w:noProof/>
                <w:webHidden/>
              </w:rPr>
              <w:fldChar w:fldCharType="separate"/>
            </w:r>
            <w:r>
              <w:rPr>
                <w:noProof/>
                <w:webHidden/>
              </w:rPr>
              <w:t>19</w:t>
            </w:r>
            <w:r>
              <w:rPr>
                <w:noProof/>
                <w:webHidden/>
              </w:rPr>
              <w:fldChar w:fldCharType="end"/>
            </w:r>
          </w:hyperlink>
        </w:p>
        <w:p w14:paraId="39D5D294" w14:textId="2CCB580D" w:rsidR="003003CA" w:rsidRDefault="003003CA">
          <w:pPr>
            <w:pStyle w:val="TDC3"/>
            <w:tabs>
              <w:tab w:val="right" w:leader="dot" w:pos="9394"/>
            </w:tabs>
            <w:rPr>
              <w:rFonts w:asciiTheme="minorHAnsi" w:eastAsiaTheme="minorEastAsia" w:hAnsiTheme="minorHAnsi" w:cstheme="minorBidi"/>
              <w:noProof/>
            </w:rPr>
          </w:pPr>
          <w:hyperlink w:anchor="_Toc234920357" w:history="1">
            <w:r w:rsidRPr="00E74A31">
              <w:rPr>
                <w:rStyle w:val="Hipervnculo"/>
                <w:rFonts w:asciiTheme="majorHAnsi" w:hAnsiTheme="majorHAnsi" w:cstheme="majorHAnsi"/>
                <w:noProof/>
                <w:lang w:val="es-ES"/>
              </w:rPr>
              <w:t>1.1.2 Costos de transacción, control político y gatekeeping legislativo en materia energética</w:t>
            </w:r>
            <w:r>
              <w:rPr>
                <w:noProof/>
                <w:webHidden/>
              </w:rPr>
              <w:tab/>
            </w:r>
            <w:r>
              <w:rPr>
                <w:noProof/>
                <w:webHidden/>
              </w:rPr>
              <w:fldChar w:fldCharType="begin"/>
            </w:r>
            <w:r>
              <w:rPr>
                <w:noProof/>
                <w:webHidden/>
              </w:rPr>
              <w:instrText xml:space="preserve"> PAGEREF _Toc234920357 \h </w:instrText>
            </w:r>
            <w:r>
              <w:rPr>
                <w:noProof/>
                <w:webHidden/>
              </w:rPr>
            </w:r>
            <w:r>
              <w:rPr>
                <w:noProof/>
                <w:webHidden/>
              </w:rPr>
              <w:fldChar w:fldCharType="separate"/>
            </w:r>
            <w:r>
              <w:rPr>
                <w:noProof/>
                <w:webHidden/>
              </w:rPr>
              <w:t>20</w:t>
            </w:r>
            <w:r>
              <w:rPr>
                <w:noProof/>
                <w:webHidden/>
              </w:rPr>
              <w:fldChar w:fldCharType="end"/>
            </w:r>
          </w:hyperlink>
        </w:p>
        <w:p w14:paraId="5AFC5786" w14:textId="31C575F8" w:rsidR="003003CA" w:rsidRDefault="003003CA">
          <w:pPr>
            <w:pStyle w:val="TDC3"/>
            <w:tabs>
              <w:tab w:val="right" w:leader="dot" w:pos="9394"/>
            </w:tabs>
            <w:rPr>
              <w:rFonts w:asciiTheme="minorHAnsi" w:eastAsiaTheme="minorEastAsia" w:hAnsiTheme="minorHAnsi" w:cstheme="minorBidi"/>
              <w:noProof/>
            </w:rPr>
          </w:pPr>
          <w:hyperlink w:anchor="_Toc234920358" w:history="1">
            <w:r w:rsidRPr="00E74A31">
              <w:rPr>
                <w:rStyle w:val="Hipervnculo"/>
                <w:rFonts w:asciiTheme="majorHAnsi" w:hAnsiTheme="majorHAnsi" w:cstheme="majorHAnsi"/>
                <w:noProof/>
                <w:lang w:val="es-ES"/>
              </w:rPr>
              <w:t>1.1.3 Avances normativos en la transición energética justa</w:t>
            </w:r>
            <w:r>
              <w:rPr>
                <w:noProof/>
                <w:webHidden/>
              </w:rPr>
              <w:tab/>
            </w:r>
            <w:r>
              <w:rPr>
                <w:noProof/>
                <w:webHidden/>
              </w:rPr>
              <w:fldChar w:fldCharType="begin"/>
            </w:r>
            <w:r>
              <w:rPr>
                <w:noProof/>
                <w:webHidden/>
              </w:rPr>
              <w:instrText xml:space="preserve"> PAGEREF _Toc234920358 \h </w:instrText>
            </w:r>
            <w:r>
              <w:rPr>
                <w:noProof/>
                <w:webHidden/>
              </w:rPr>
            </w:r>
            <w:r>
              <w:rPr>
                <w:noProof/>
                <w:webHidden/>
              </w:rPr>
              <w:fldChar w:fldCharType="separate"/>
            </w:r>
            <w:r>
              <w:rPr>
                <w:noProof/>
                <w:webHidden/>
              </w:rPr>
              <w:t>21</w:t>
            </w:r>
            <w:r>
              <w:rPr>
                <w:noProof/>
                <w:webHidden/>
              </w:rPr>
              <w:fldChar w:fldCharType="end"/>
            </w:r>
          </w:hyperlink>
        </w:p>
        <w:p w14:paraId="1DB68EC4" w14:textId="74A7435F" w:rsidR="003003CA" w:rsidRDefault="003003CA">
          <w:pPr>
            <w:pStyle w:val="TDC3"/>
            <w:tabs>
              <w:tab w:val="right" w:leader="dot" w:pos="9394"/>
            </w:tabs>
            <w:rPr>
              <w:rFonts w:asciiTheme="minorHAnsi" w:eastAsiaTheme="minorEastAsia" w:hAnsiTheme="minorHAnsi" w:cstheme="minorBidi"/>
              <w:noProof/>
            </w:rPr>
          </w:pPr>
          <w:hyperlink w:anchor="_Toc234920359" w:history="1">
            <w:r w:rsidRPr="00E74A31">
              <w:rPr>
                <w:rStyle w:val="Hipervnculo"/>
                <w:rFonts w:asciiTheme="majorHAnsi" w:hAnsiTheme="majorHAnsi" w:cstheme="majorHAnsi"/>
                <w:noProof/>
                <w:lang w:val="es-ES"/>
              </w:rPr>
              <w:t>1.1.4 Múltiples veto players y altos costos de agenciamiento</w:t>
            </w:r>
            <w:r>
              <w:rPr>
                <w:noProof/>
                <w:webHidden/>
              </w:rPr>
              <w:tab/>
            </w:r>
            <w:r>
              <w:rPr>
                <w:noProof/>
                <w:webHidden/>
              </w:rPr>
              <w:fldChar w:fldCharType="begin"/>
            </w:r>
            <w:r>
              <w:rPr>
                <w:noProof/>
                <w:webHidden/>
              </w:rPr>
              <w:instrText xml:space="preserve"> PAGEREF _Toc234920359 \h </w:instrText>
            </w:r>
            <w:r>
              <w:rPr>
                <w:noProof/>
                <w:webHidden/>
              </w:rPr>
            </w:r>
            <w:r>
              <w:rPr>
                <w:noProof/>
                <w:webHidden/>
              </w:rPr>
              <w:fldChar w:fldCharType="separate"/>
            </w:r>
            <w:r>
              <w:rPr>
                <w:noProof/>
                <w:webHidden/>
              </w:rPr>
              <w:t>22</w:t>
            </w:r>
            <w:r>
              <w:rPr>
                <w:noProof/>
                <w:webHidden/>
              </w:rPr>
              <w:fldChar w:fldCharType="end"/>
            </w:r>
          </w:hyperlink>
        </w:p>
        <w:p w14:paraId="7F8FBBEF" w14:textId="08641DAC" w:rsidR="003003CA" w:rsidRDefault="003003CA">
          <w:pPr>
            <w:pStyle w:val="TDC2"/>
            <w:tabs>
              <w:tab w:val="right" w:leader="dot" w:pos="9394"/>
            </w:tabs>
            <w:rPr>
              <w:rFonts w:asciiTheme="minorHAnsi" w:eastAsiaTheme="minorEastAsia" w:hAnsiTheme="minorHAnsi" w:cstheme="minorBidi"/>
              <w:noProof/>
            </w:rPr>
          </w:pPr>
          <w:hyperlink w:anchor="_Toc234920360" w:history="1">
            <w:r w:rsidRPr="00E74A31">
              <w:rPr>
                <w:rStyle w:val="Hipervnculo"/>
                <w:rFonts w:asciiTheme="majorHAnsi" w:hAnsiTheme="majorHAnsi" w:cstheme="majorHAnsi"/>
                <w:noProof/>
              </w:rPr>
              <w:t>1.2 Análisis de la estrategia de relacionamiento legislativo del Ministerio de Minas y Energía</w:t>
            </w:r>
            <w:r>
              <w:rPr>
                <w:noProof/>
                <w:webHidden/>
              </w:rPr>
              <w:tab/>
            </w:r>
            <w:r>
              <w:rPr>
                <w:noProof/>
                <w:webHidden/>
              </w:rPr>
              <w:fldChar w:fldCharType="begin"/>
            </w:r>
            <w:r>
              <w:rPr>
                <w:noProof/>
                <w:webHidden/>
              </w:rPr>
              <w:instrText xml:space="preserve"> PAGEREF _Toc234920360 \h </w:instrText>
            </w:r>
            <w:r>
              <w:rPr>
                <w:noProof/>
                <w:webHidden/>
              </w:rPr>
            </w:r>
            <w:r>
              <w:rPr>
                <w:noProof/>
                <w:webHidden/>
              </w:rPr>
              <w:fldChar w:fldCharType="separate"/>
            </w:r>
            <w:r>
              <w:rPr>
                <w:noProof/>
                <w:webHidden/>
              </w:rPr>
              <w:t>23</w:t>
            </w:r>
            <w:r>
              <w:rPr>
                <w:noProof/>
                <w:webHidden/>
              </w:rPr>
              <w:fldChar w:fldCharType="end"/>
            </w:r>
          </w:hyperlink>
        </w:p>
        <w:p w14:paraId="4829ABA5" w14:textId="7FEC2A6C" w:rsidR="003003CA" w:rsidRDefault="003003CA">
          <w:pPr>
            <w:pStyle w:val="TDC3"/>
            <w:tabs>
              <w:tab w:val="right" w:leader="dot" w:pos="9394"/>
            </w:tabs>
            <w:rPr>
              <w:rFonts w:asciiTheme="minorHAnsi" w:eastAsiaTheme="minorEastAsia" w:hAnsiTheme="minorHAnsi" w:cstheme="minorBidi"/>
              <w:noProof/>
            </w:rPr>
          </w:pPr>
          <w:hyperlink w:anchor="_Toc234920361" w:history="1">
            <w:r w:rsidRPr="00E74A31">
              <w:rPr>
                <w:rStyle w:val="Hipervnculo"/>
                <w:rFonts w:asciiTheme="majorHAnsi" w:hAnsiTheme="majorHAnsi" w:cstheme="majorHAnsi"/>
                <w:noProof/>
                <w:lang w:val="es-ES"/>
              </w:rPr>
              <w:t xml:space="preserve">1.2.1 </w:t>
            </w:r>
            <w:r w:rsidRPr="00E74A31">
              <w:rPr>
                <w:rStyle w:val="Hipervnculo"/>
                <w:rFonts w:asciiTheme="majorHAnsi" w:hAnsiTheme="majorHAnsi" w:cstheme="majorHAnsi"/>
                <w:noProof/>
              </w:rPr>
              <w:t>Contexto político-legislativo</w:t>
            </w:r>
            <w:r>
              <w:rPr>
                <w:noProof/>
                <w:webHidden/>
              </w:rPr>
              <w:tab/>
            </w:r>
            <w:r>
              <w:rPr>
                <w:noProof/>
                <w:webHidden/>
              </w:rPr>
              <w:fldChar w:fldCharType="begin"/>
            </w:r>
            <w:r>
              <w:rPr>
                <w:noProof/>
                <w:webHidden/>
              </w:rPr>
              <w:instrText xml:space="preserve"> PAGEREF _Toc234920361 \h </w:instrText>
            </w:r>
            <w:r>
              <w:rPr>
                <w:noProof/>
                <w:webHidden/>
              </w:rPr>
            </w:r>
            <w:r>
              <w:rPr>
                <w:noProof/>
                <w:webHidden/>
              </w:rPr>
              <w:fldChar w:fldCharType="separate"/>
            </w:r>
            <w:r>
              <w:rPr>
                <w:noProof/>
                <w:webHidden/>
              </w:rPr>
              <w:t>24</w:t>
            </w:r>
            <w:r>
              <w:rPr>
                <w:noProof/>
                <w:webHidden/>
              </w:rPr>
              <w:fldChar w:fldCharType="end"/>
            </w:r>
          </w:hyperlink>
        </w:p>
        <w:p w14:paraId="01AAC178" w14:textId="05AD869D" w:rsidR="003003CA" w:rsidRDefault="003003CA">
          <w:pPr>
            <w:pStyle w:val="TDC3"/>
            <w:tabs>
              <w:tab w:val="right" w:leader="dot" w:pos="9394"/>
            </w:tabs>
            <w:rPr>
              <w:rFonts w:asciiTheme="minorHAnsi" w:eastAsiaTheme="minorEastAsia" w:hAnsiTheme="minorHAnsi" w:cstheme="minorBidi"/>
              <w:noProof/>
            </w:rPr>
          </w:pPr>
          <w:hyperlink w:anchor="_Toc234920362" w:history="1">
            <w:r w:rsidRPr="00E74A31">
              <w:rPr>
                <w:rStyle w:val="Hipervnculo"/>
                <w:rFonts w:asciiTheme="majorHAnsi" w:hAnsiTheme="majorHAnsi" w:cstheme="majorHAnsi"/>
                <w:noProof/>
                <w:lang w:val="es-ES"/>
              </w:rPr>
              <w:t xml:space="preserve">1.2.2 </w:t>
            </w:r>
            <w:r w:rsidRPr="00E74A31">
              <w:rPr>
                <w:rStyle w:val="Hipervnculo"/>
                <w:rFonts w:asciiTheme="majorHAnsi" w:hAnsiTheme="majorHAnsi" w:cstheme="majorHAnsi"/>
                <w:noProof/>
              </w:rPr>
              <w:t>Evaluación de los componentes del método de relacionamiento legislativo</w:t>
            </w:r>
            <w:r>
              <w:rPr>
                <w:noProof/>
                <w:webHidden/>
              </w:rPr>
              <w:tab/>
            </w:r>
            <w:r>
              <w:rPr>
                <w:noProof/>
                <w:webHidden/>
              </w:rPr>
              <w:fldChar w:fldCharType="begin"/>
            </w:r>
            <w:r>
              <w:rPr>
                <w:noProof/>
                <w:webHidden/>
              </w:rPr>
              <w:instrText xml:space="preserve"> PAGEREF _Toc234920362 \h </w:instrText>
            </w:r>
            <w:r>
              <w:rPr>
                <w:noProof/>
                <w:webHidden/>
              </w:rPr>
            </w:r>
            <w:r>
              <w:rPr>
                <w:noProof/>
                <w:webHidden/>
              </w:rPr>
              <w:fldChar w:fldCharType="separate"/>
            </w:r>
            <w:r>
              <w:rPr>
                <w:noProof/>
                <w:webHidden/>
              </w:rPr>
              <w:t>25</w:t>
            </w:r>
            <w:r>
              <w:rPr>
                <w:noProof/>
                <w:webHidden/>
              </w:rPr>
              <w:fldChar w:fldCharType="end"/>
            </w:r>
          </w:hyperlink>
        </w:p>
        <w:p w14:paraId="0ECCDAFC" w14:textId="708E7140" w:rsidR="003003CA" w:rsidRDefault="003003CA">
          <w:pPr>
            <w:pStyle w:val="TDC3"/>
            <w:tabs>
              <w:tab w:val="right" w:leader="dot" w:pos="9394"/>
            </w:tabs>
            <w:rPr>
              <w:rFonts w:asciiTheme="minorHAnsi" w:eastAsiaTheme="minorEastAsia" w:hAnsiTheme="minorHAnsi" w:cstheme="minorBidi"/>
              <w:noProof/>
            </w:rPr>
          </w:pPr>
          <w:hyperlink w:anchor="_Toc234920363" w:history="1">
            <w:r w:rsidRPr="00E74A31">
              <w:rPr>
                <w:rStyle w:val="Hipervnculo"/>
                <w:rFonts w:asciiTheme="majorHAnsi" w:hAnsiTheme="majorHAnsi" w:cstheme="majorHAnsi"/>
                <w:noProof/>
                <w:lang w:val="es-ES"/>
              </w:rPr>
              <w:t xml:space="preserve">1.2.3 </w:t>
            </w:r>
            <w:r w:rsidRPr="00E74A31">
              <w:rPr>
                <w:rStyle w:val="Hipervnculo"/>
                <w:rFonts w:asciiTheme="majorHAnsi" w:hAnsiTheme="majorHAnsi" w:cstheme="majorHAnsi"/>
                <w:noProof/>
              </w:rPr>
              <w:t>Debilidades transversales</w:t>
            </w:r>
            <w:r>
              <w:rPr>
                <w:noProof/>
                <w:webHidden/>
              </w:rPr>
              <w:tab/>
            </w:r>
            <w:r>
              <w:rPr>
                <w:noProof/>
                <w:webHidden/>
              </w:rPr>
              <w:fldChar w:fldCharType="begin"/>
            </w:r>
            <w:r>
              <w:rPr>
                <w:noProof/>
                <w:webHidden/>
              </w:rPr>
              <w:instrText xml:space="preserve"> PAGEREF _Toc234920363 \h </w:instrText>
            </w:r>
            <w:r>
              <w:rPr>
                <w:noProof/>
                <w:webHidden/>
              </w:rPr>
            </w:r>
            <w:r>
              <w:rPr>
                <w:noProof/>
                <w:webHidden/>
              </w:rPr>
              <w:fldChar w:fldCharType="separate"/>
            </w:r>
            <w:r>
              <w:rPr>
                <w:noProof/>
                <w:webHidden/>
              </w:rPr>
              <w:t>27</w:t>
            </w:r>
            <w:r>
              <w:rPr>
                <w:noProof/>
                <w:webHidden/>
              </w:rPr>
              <w:fldChar w:fldCharType="end"/>
            </w:r>
          </w:hyperlink>
        </w:p>
        <w:p w14:paraId="63F9A67A" w14:textId="1A26AF76" w:rsidR="003003CA" w:rsidRDefault="003003CA">
          <w:pPr>
            <w:pStyle w:val="TDC3"/>
            <w:tabs>
              <w:tab w:val="right" w:leader="dot" w:pos="9394"/>
            </w:tabs>
            <w:rPr>
              <w:rFonts w:asciiTheme="minorHAnsi" w:eastAsiaTheme="minorEastAsia" w:hAnsiTheme="minorHAnsi" w:cstheme="minorBidi"/>
              <w:noProof/>
            </w:rPr>
          </w:pPr>
          <w:hyperlink w:anchor="_Toc234920364" w:history="1">
            <w:r w:rsidRPr="00E74A31">
              <w:rPr>
                <w:rStyle w:val="Hipervnculo"/>
                <w:rFonts w:asciiTheme="majorHAnsi" w:hAnsiTheme="majorHAnsi" w:cstheme="majorHAnsi"/>
                <w:noProof/>
              </w:rPr>
              <w:t>1.2.4 Recomendaciones</w:t>
            </w:r>
            <w:r>
              <w:rPr>
                <w:noProof/>
                <w:webHidden/>
              </w:rPr>
              <w:tab/>
            </w:r>
            <w:r>
              <w:rPr>
                <w:noProof/>
                <w:webHidden/>
              </w:rPr>
              <w:fldChar w:fldCharType="begin"/>
            </w:r>
            <w:r>
              <w:rPr>
                <w:noProof/>
                <w:webHidden/>
              </w:rPr>
              <w:instrText xml:space="preserve"> PAGEREF _Toc234920364 \h </w:instrText>
            </w:r>
            <w:r>
              <w:rPr>
                <w:noProof/>
                <w:webHidden/>
              </w:rPr>
            </w:r>
            <w:r>
              <w:rPr>
                <w:noProof/>
                <w:webHidden/>
              </w:rPr>
              <w:fldChar w:fldCharType="separate"/>
            </w:r>
            <w:r>
              <w:rPr>
                <w:noProof/>
                <w:webHidden/>
              </w:rPr>
              <w:t>27</w:t>
            </w:r>
            <w:r>
              <w:rPr>
                <w:noProof/>
                <w:webHidden/>
              </w:rPr>
              <w:fldChar w:fldCharType="end"/>
            </w:r>
          </w:hyperlink>
        </w:p>
        <w:p w14:paraId="7B747840" w14:textId="6F0108C3" w:rsidR="003003CA" w:rsidRDefault="003003CA">
          <w:pPr>
            <w:pStyle w:val="TDC2"/>
            <w:tabs>
              <w:tab w:val="left" w:pos="880"/>
              <w:tab w:val="right" w:leader="dot" w:pos="9394"/>
            </w:tabs>
            <w:rPr>
              <w:rFonts w:asciiTheme="minorHAnsi" w:eastAsiaTheme="minorEastAsia" w:hAnsiTheme="minorHAnsi" w:cstheme="minorBidi"/>
              <w:noProof/>
            </w:rPr>
          </w:pPr>
          <w:hyperlink w:anchor="_Toc234920365" w:history="1">
            <w:r w:rsidRPr="00E74A31">
              <w:rPr>
                <w:rStyle w:val="Hipervnculo"/>
                <w:rFonts w:asciiTheme="majorHAnsi" w:hAnsiTheme="majorHAnsi" w:cstheme="majorHAnsi"/>
                <w:noProof/>
              </w:rPr>
              <w:t>2.1</w:t>
            </w:r>
            <w:r>
              <w:rPr>
                <w:rFonts w:asciiTheme="minorHAnsi" w:eastAsiaTheme="minorEastAsia" w:hAnsiTheme="minorHAnsi" w:cstheme="minorBidi"/>
                <w:noProof/>
              </w:rPr>
              <w:tab/>
            </w:r>
            <w:r w:rsidRPr="00E74A31">
              <w:rPr>
                <w:rStyle w:val="Hipervnculo"/>
                <w:rFonts w:asciiTheme="majorHAnsi" w:hAnsiTheme="majorHAnsi" w:cstheme="majorHAnsi"/>
                <w:noProof/>
              </w:rPr>
              <w:t>Benchmarking</w:t>
            </w:r>
            <w:r>
              <w:rPr>
                <w:noProof/>
                <w:webHidden/>
              </w:rPr>
              <w:tab/>
            </w:r>
            <w:r>
              <w:rPr>
                <w:noProof/>
                <w:webHidden/>
              </w:rPr>
              <w:fldChar w:fldCharType="begin"/>
            </w:r>
            <w:r>
              <w:rPr>
                <w:noProof/>
                <w:webHidden/>
              </w:rPr>
              <w:instrText xml:space="preserve"> PAGEREF _Toc234920365 \h </w:instrText>
            </w:r>
            <w:r>
              <w:rPr>
                <w:noProof/>
                <w:webHidden/>
              </w:rPr>
            </w:r>
            <w:r>
              <w:rPr>
                <w:noProof/>
                <w:webHidden/>
              </w:rPr>
              <w:fldChar w:fldCharType="separate"/>
            </w:r>
            <w:r>
              <w:rPr>
                <w:noProof/>
                <w:webHidden/>
              </w:rPr>
              <w:t>28</w:t>
            </w:r>
            <w:r>
              <w:rPr>
                <w:noProof/>
                <w:webHidden/>
              </w:rPr>
              <w:fldChar w:fldCharType="end"/>
            </w:r>
          </w:hyperlink>
        </w:p>
        <w:p w14:paraId="3E36189A" w14:textId="60D86DD8" w:rsidR="003003CA" w:rsidRDefault="003003CA">
          <w:pPr>
            <w:pStyle w:val="TDC3"/>
            <w:tabs>
              <w:tab w:val="right" w:leader="dot" w:pos="9394"/>
            </w:tabs>
            <w:rPr>
              <w:rFonts w:asciiTheme="minorHAnsi" w:eastAsiaTheme="minorEastAsia" w:hAnsiTheme="minorHAnsi" w:cstheme="minorBidi"/>
              <w:noProof/>
            </w:rPr>
          </w:pPr>
          <w:hyperlink w:anchor="_Toc234920366" w:history="1">
            <w:r w:rsidRPr="00E74A31">
              <w:rPr>
                <w:rStyle w:val="Hipervnculo"/>
                <w:rFonts w:asciiTheme="majorHAnsi" w:hAnsiTheme="majorHAnsi" w:cstheme="majorHAnsi"/>
                <w:noProof/>
              </w:rPr>
              <w:t>2.1.1 Brasil: presidencialismo de coalición e institucionalización del análisis legislativo</w:t>
            </w:r>
            <w:r>
              <w:rPr>
                <w:noProof/>
                <w:webHidden/>
              </w:rPr>
              <w:tab/>
            </w:r>
            <w:r>
              <w:rPr>
                <w:noProof/>
                <w:webHidden/>
              </w:rPr>
              <w:fldChar w:fldCharType="begin"/>
            </w:r>
            <w:r>
              <w:rPr>
                <w:noProof/>
                <w:webHidden/>
              </w:rPr>
              <w:instrText xml:space="preserve"> PAGEREF _Toc234920366 \h </w:instrText>
            </w:r>
            <w:r>
              <w:rPr>
                <w:noProof/>
                <w:webHidden/>
              </w:rPr>
            </w:r>
            <w:r>
              <w:rPr>
                <w:noProof/>
                <w:webHidden/>
              </w:rPr>
              <w:fldChar w:fldCharType="separate"/>
            </w:r>
            <w:r>
              <w:rPr>
                <w:noProof/>
                <w:webHidden/>
              </w:rPr>
              <w:t>29</w:t>
            </w:r>
            <w:r>
              <w:rPr>
                <w:noProof/>
                <w:webHidden/>
              </w:rPr>
              <w:fldChar w:fldCharType="end"/>
            </w:r>
          </w:hyperlink>
        </w:p>
        <w:p w14:paraId="3C5A8E68" w14:textId="1B1B9C94" w:rsidR="003003CA" w:rsidRDefault="003003CA">
          <w:pPr>
            <w:pStyle w:val="TDC3"/>
            <w:tabs>
              <w:tab w:val="right" w:leader="dot" w:pos="9394"/>
            </w:tabs>
            <w:rPr>
              <w:rFonts w:asciiTheme="minorHAnsi" w:eastAsiaTheme="minorEastAsia" w:hAnsiTheme="minorHAnsi" w:cstheme="minorBidi"/>
              <w:noProof/>
            </w:rPr>
          </w:pPr>
          <w:hyperlink w:anchor="_Toc234920367" w:history="1">
            <w:r w:rsidRPr="00E74A31">
              <w:rPr>
                <w:rStyle w:val="Hipervnculo"/>
                <w:rFonts w:asciiTheme="majorHAnsi" w:hAnsiTheme="majorHAnsi" w:cstheme="majorHAnsi"/>
                <w:noProof/>
              </w:rPr>
              <w:t>2.1.2 Chile: Coordinación institucionalizada y transparencia del relacionamiento legislativo</w:t>
            </w:r>
            <w:r>
              <w:rPr>
                <w:noProof/>
                <w:webHidden/>
              </w:rPr>
              <w:tab/>
            </w:r>
            <w:r>
              <w:rPr>
                <w:noProof/>
                <w:webHidden/>
              </w:rPr>
              <w:fldChar w:fldCharType="begin"/>
            </w:r>
            <w:r>
              <w:rPr>
                <w:noProof/>
                <w:webHidden/>
              </w:rPr>
              <w:instrText xml:space="preserve"> PAGEREF _Toc234920367 \h </w:instrText>
            </w:r>
            <w:r>
              <w:rPr>
                <w:noProof/>
                <w:webHidden/>
              </w:rPr>
            </w:r>
            <w:r>
              <w:rPr>
                <w:noProof/>
                <w:webHidden/>
              </w:rPr>
              <w:fldChar w:fldCharType="separate"/>
            </w:r>
            <w:r>
              <w:rPr>
                <w:noProof/>
                <w:webHidden/>
              </w:rPr>
              <w:t>31</w:t>
            </w:r>
            <w:r>
              <w:rPr>
                <w:noProof/>
                <w:webHidden/>
              </w:rPr>
              <w:fldChar w:fldCharType="end"/>
            </w:r>
          </w:hyperlink>
        </w:p>
        <w:p w14:paraId="79160A0A" w14:textId="1BC7A4C2" w:rsidR="003003CA" w:rsidRDefault="003003CA">
          <w:pPr>
            <w:pStyle w:val="TDC3"/>
            <w:tabs>
              <w:tab w:val="right" w:leader="dot" w:pos="9394"/>
            </w:tabs>
            <w:rPr>
              <w:rFonts w:asciiTheme="minorHAnsi" w:eastAsiaTheme="minorEastAsia" w:hAnsiTheme="minorHAnsi" w:cstheme="minorBidi"/>
              <w:noProof/>
            </w:rPr>
          </w:pPr>
          <w:hyperlink w:anchor="_Toc234920368" w:history="1">
            <w:r w:rsidRPr="00E74A31">
              <w:rPr>
                <w:rStyle w:val="Hipervnculo"/>
                <w:rFonts w:asciiTheme="majorHAnsi" w:hAnsiTheme="majorHAnsi" w:cstheme="majorHAnsi"/>
                <w:noProof/>
              </w:rPr>
              <w:t>2.1.3 México: mayoría calificada, veto players mínimos y recentralización de política energética</w:t>
            </w:r>
            <w:r>
              <w:rPr>
                <w:noProof/>
                <w:webHidden/>
              </w:rPr>
              <w:tab/>
            </w:r>
            <w:r>
              <w:rPr>
                <w:noProof/>
                <w:webHidden/>
              </w:rPr>
              <w:fldChar w:fldCharType="begin"/>
            </w:r>
            <w:r>
              <w:rPr>
                <w:noProof/>
                <w:webHidden/>
              </w:rPr>
              <w:instrText xml:space="preserve"> PAGEREF _Toc234920368 \h </w:instrText>
            </w:r>
            <w:r>
              <w:rPr>
                <w:noProof/>
                <w:webHidden/>
              </w:rPr>
            </w:r>
            <w:r>
              <w:rPr>
                <w:noProof/>
                <w:webHidden/>
              </w:rPr>
              <w:fldChar w:fldCharType="separate"/>
            </w:r>
            <w:r>
              <w:rPr>
                <w:noProof/>
                <w:webHidden/>
              </w:rPr>
              <w:t>35</w:t>
            </w:r>
            <w:r>
              <w:rPr>
                <w:noProof/>
                <w:webHidden/>
              </w:rPr>
              <w:fldChar w:fldCharType="end"/>
            </w:r>
          </w:hyperlink>
        </w:p>
        <w:p w14:paraId="5D8C0ECD" w14:textId="5911DEB0" w:rsidR="003003CA" w:rsidRDefault="003003CA">
          <w:pPr>
            <w:pStyle w:val="TDC3"/>
            <w:tabs>
              <w:tab w:val="right" w:leader="dot" w:pos="9394"/>
            </w:tabs>
            <w:rPr>
              <w:rFonts w:asciiTheme="minorHAnsi" w:eastAsiaTheme="minorEastAsia" w:hAnsiTheme="minorHAnsi" w:cstheme="minorBidi"/>
              <w:noProof/>
            </w:rPr>
          </w:pPr>
          <w:hyperlink w:anchor="_Toc234920369" w:history="1">
            <w:r w:rsidRPr="00E74A31">
              <w:rPr>
                <w:rStyle w:val="Hipervnculo"/>
                <w:noProof/>
              </w:rPr>
              <w:t>2.2 Lecciones para el caso colombiano</w:t>
            </w:r>
            <w:r>
              <w:rPr>
                <w:noProof/>
                <w:webHidden/>
              </w:rPr>
              <w:tab/>
            </w:r>
            <w:r>
              <w:rPr>
                <w:noProof/>
                <w:webHidden/>
              </w:rPr>
              <w:fldChar w:fldCharType="begin"/>
            </w:r>
            <w:r>
              <w:rPr>
                <w:noProof/>
                <w:webHidden/>
              </w:rPr>
              <w:instrText xml:space="preserve"> PAGEREF _Toc234920369 \h </w:instrText>
            </w:r>
            <w:r>
              <w:rPr>
                <w:noProof/>
                <w:webHidden/>
              </w:rPr>
            </w:r>
            <w:r>
              <w:rPr>
                <w:noProof/>
                <w:webHidden/>
              </w:rPr>
              <w:fldChar w:fldCharType="separate"/>
            </w:r>
            <w:r>
              <w:rPr>
                <w:noProof/>
                <w:webHidden/>
              </w:rPr>
              <w:t>38</w:t>
            </w:r>
            <w:r>
              <w:rPr>
                <w:noProof/>
                <w:webHidden/>
              </w:rPr>
              <w:fldChar w:fldCharType="end"/>
            </w:r>
          </w:hyperlink>
        </w:p>
        <w:p w14:paraId="6120C156" w14:textId="79F055F6" w:rsidR="003003CA" w:rsidRDefault="003003CA">
          <w:pPr>
            <w:pStyle w:val="TDC2"/>
            <w:tabs>
              <w:tab w:val="right" w:leader="dot" w:pos="9394"/>
            </w:tabs>
            <w:rPr>
              <w:rFonts w:asciiTheme="minorHAnsi" w:eastAsiaTheme="minorEastAsia" w:hAnsiTheme="minorHAnsi" w:cstheme="minorBidi"/>
              <w:noProof/>
            </w:rPr>
          </w:pPr>
          <w:hyperlink w:anchor="_Toc234920370" w:history="1">
            <w:r w:rsidRPr="00E74A31">
              <w:rPr>
                <w:rStyle w:val="Hipervnculo"/>
                <w:noProof/>
                <w:lang w:val="es-ES"/>
              </w:rPr>
              <w:t>Conclusiones</w:t>
            </w:r>
            <w:r>
              <w:rPr>
                <w:noProof/>
                <w:webHidden/>
              </w:rPr>
              <w:tab/>
            </w:r>
            <w:r>
              <w:rPr>
                <w:noProof/>
                <w:webHidden/>
              </w:rPr>
              <w:fldChar w:fldCharType="begin"/>
            </w:r>
            <w:r>
              <w:rPr>
                <w:noProof/>
                <w:webHidden/>
              </w:rPr>
              <w:instrText xml:space="preserve"> PAGEREF _Toc234920370 \h </w:instrText>
            </w:r>
            <w:r>
              <w:rPr>
                <w:noProof/>
                <w:webHidden/>
              </w:rPr>
            </w:r>
            <w:r>
              <w:rPr>
                <w:noProof/>
                <w:webHidden/>
              </w:rPr>
              <w:fldChar w:fldCharType="separate"/>
            </w:r>
            <w:r>
              <w:rPr>
                <w:noProof/>
                <w:webHidden/>
              </w:rPr>
              <w:t>39</w:t>
            </w:r>
            <w:r>
              <w:rPr>
                <w:noProof/>
                <w:webHidden/>
              </w:rPr>
              <w:fldChar w:fldCharType="end"/>
            </w:r>
          </w:hyperlink>
        </w:p>
        <w:p w14:paraId="40A5EB8A" w14:textId="39CB1B09" w:rsidR="003003CA" w:rsidRDefault="003003CA">
          <w:pPr>
            <w:pStyle w:val="TDC1"/>
            <w:tabs>
              <w:tab w:val="right" w:leader="dot" w:pos="9394"/>
            </w:tabs>
            <w:rPr>
              <w:rFonts w:asciiTheme="minorHAnsi" w:eastAsiaTheme="minorEastAsia" w:hAnsiTheme="minorHAnsi" w:cstheme="minorBidi"/>
              <w:noProof/>
            </w:rPr>
          </w:pPr>
          <w:hyperlink w:anchor="_Toc234920371" w:history="1">
            <w:r w:rsidRPr="00E74A31">
              <w:rPr>
                <w:rStyle w:val="Hipervnculo"/>
                <w:rFonts w:asciiTheme="majorHAnsi" w:hAnsiTheme="majorHAnsi" w:cstheme="majorHAnsi"/>
                <w:noProof/>
              </w:rPr>
              <w:t>Capítulo 2. Análisis de solicitudes del Congreso de la República al Ministerio de Minas y Energía</w:t>
            </w:r>
            <w:r>
              <w:rPr>
                <w:noProof/>
                <w:webHidden/>
              </w:rPr>
              <w:tab/>
            </w:r>
            <w:r>
              <w:rPr>
                <w:noProof/>
                <w:webHidden/>
              </w:rPr>
              <w:fldChar w:fldCharType="begin"/>
            </w:r>
            <w:r>
              <w:rPr>
                <w:noProof/>
                <w:webHidden/>
              </w:rPr>
              <w:instrText xml:space="preserve"> PAGEREF _Toc234920371 \h </w:instrText>
            </w:r>
            <w:r>
              <w:rPr>
                <w:noProof/>
                <w:webHidden/>
              </w:rPr>
            </w:r>
            <w:r>
              <w:rPr>
                <w:noProof/>
                <w:webHidden/>
              </w:rPr>
              <w:fldChar w:fldCharType="separate"/>
            </w:r>
            <w:r>
              <w:rPr>
                <w:noProof/>
                <w:webHidden/>
              </w:rPr>
              <w:t>42</w:t>
            </w:r>
            <w:r>
              <w:rPr>
                <w:noProof/>
                <w:webHidden/>
              </w:rPr>
              <w:fldChar w:fldCharType="end"/>
            </w:r>
          </w:hyperlink>
        </w:p>
        <w:p w14:paraId="3849EB2B" w14:textId="30FBDC6D" w:rsidR="003003CA" w:rsidRDefault="003003CA">
          <w:pPr>
            <w:pStyle w:val="TDC2"/>
            <w:tabs>
              <w:tab w:val="right" w:leader="dot" w:pos="9394"/>
            </w:tabs>
            <w:rPr>
              <w:rFonts w:asciiTheme="minorHAnsi" w:eastAsiaTheme="minorEastAsia" w:hAnsiTheme="minorHAnsi" w:cstheme="minorBidi"/>
              <w:noProof/>
            </w:rPr>
          </w:pPr>
          <w:hyperlink w:anchor="_Toc234920372" w:history="1">
            <w:r w:rsidRPr="00E74A31">
              <w:rPr>
                <w:rStyle w:val="Hipervnculo"/>
                <w:rFonts w:asciiTheme="majorHAnsi" w:hAnsiTheme="majorHAnsi" w:cstheme="majorHAnsi"/>
                <w:noProof/>
              </w:rPr>
              <w:t>2.1 Análisis documental</w:t>
            </w:r>
            <w:r>
              <w:rPr>
                <w:noProof/>
                <w:webHidden/>
              </w:rPr>
              <w:tab/>
            </w:r>
            <w:r>
              <w:rPr>
                <w:noProof/>
                <w:webHidden/>
              </w:rPr>
              <w:fldChar w:fldCharType="begin"/>
            </w:r>
            <w:r>
              <w:rPr>
                <w:noProof/>
                <w:webHidden/>
              </w:rPr>
              <w:instrText xml:space="preserve"> PAGEREF _Toc234920372 \h </w:instrText>
            </w:r>
            <w:r>
              <w:rPr>
                <w:noProof/>
                <w:webHidden/>
              </w:rPr>
            </w:r>
            <w:r>
              <w:rPr>
                <w:noProof/>
                <w:webHidden/>
              </w:rPr>
              <w:fldChar w:fldCharType="separate"/>
            </w:r>
            <w:r>
              <w:rPr>
                <w:noProof/>
                <w:webHidden/>
              </w:rPr>
              <w:t>42</w:t>
            </w:r>
            <w:r>
              <w:rPr>
                <w:noProof/>
                <w:webHidden/>
              </w:rPr>
              <w:fldChar w:fldCharType="end"/>
            </w:r>
          </w:hyperlink>
        </w:p>
        <w:p w14:paraId="06CFA8E4" w14:textId="7B77F5BE" w:rsidR="003003CA" w:rsidRDefault="003003CA">
          <w:pPr>
            <w:pStyle w:val="TDC3"/>
            <w:tabs>
              <w:tab w:val="right" w:leader="dot" w:pos="9394"/>
            </w:tabs>
            <w:rPr>
              <w:rFonts w:asciiTheme="minorHAnsi" w:eastAsiaTheme="minorEastAsia" w:hAnsiTheme="minorHAnsi" w:cstheme="minorBidi"/>
              <w:noProof/>
            </w:rPr>
          </w:pPr>
          <w:hyperlink w:anchor="_Toc234920373" w:history="1">
            <w:r w:rsidRPr="00E74A31">
              <w:rPr>
                <w:rStyle w:val="Hipervnculo"/>
                <w:rFonts w:asciiTheme="majorHAnsi" w:hAnsiTheme="majorHAnsi" w:cstheme="majorHAnsi"/>
                <w:noProof/>
              </w:rPr>
              <w:t>2.1.1 Análisis solicitudes Grupo de Asuntos legislativos 2022 – 2026</w:t>
            </w:r>
            <w:r>
              <w:rPr>
                <w:noProof/>
                <w:webHidden/>
              </w:rPr>
              <w:tab/>
            </w:r>
            <w:r>
              <w:rPr>
                <w:noProof/>
                <w:webHidden/>
              </w:rPr>
              <w:fldChar w:fldCharType="begin"/>
            </w:r>
            <w:r>
              <w:rPr>
                <w:noProof/>
                <w:webHidden/>
              </w:rPr>
              <w:instrText xml:space="preserve"> PAGEREF _Toc234920373 \h </w:instrText>
            </w:r>
            <w:r>
              <w:rPr>
                <w:noProof/>
                <w:webHidden/>
              </w:rPr>
            </w:r>
            <w:r>
              <w:rPr>
                <w:noProof/>
                <w:webHidden/>
              </w:rPr>
              <w:fldChar w:fldCharType="separate"/>
            </w:r>
            <w:r>
              <w:rPr>
                <w:noProof/>
                <w:webHidden/>
              </w:rPr>
              <w:t>42</w:t>
            </w:r>
            <w:r>
              <w:rPr>
                <w:noProof/>
                <w:webHidden/>
              </w:rPr>
              <w:fldChar w:fldCharType="end"/>
            </w:r>
          </w:hyperlink>
        </w:p>
        <w:p w14:paraId="678EE541" w14:textId="1BF1AA9E" w:rsidR="003003CA" w:rsidRDefault="003003CA">
          <w:pPr>
            <w:pStyle w:val="TDC3"/>
            <w:tabs>
              <w:tab w:val="right" w:leader="dot" w:pos="9394"/>
            </w:tabs>
            <w:rPr>
              <w:rFonts w:asciiTheme="minorHAnsi" w:eastAsiaTheme="minorEastAsia" w:hAnsiTheme="minorHAnsi" w:cstheme="minorBidi"/>
              <w:noProof/>
            </w:rPr>
          </w:pPr>
          <w:hyperlink w:anchor="_Toc234920374" w:history="1">
            <w:r w:rsidRPr="00E74A31">
              <w:rPr>
                <w:rStyle w:val="Hipervnculo"/>
                <w:rFonts w:asciiTheme="majorHAnsi" w:hAnsiTheme="majorHAnsi" w:cstheme="majorHAnsi"/>
                <w:noProof/>
              </w:rPr>
              <w:t>2.1.2 Análisis de proposiciones Grupo de Asuntos legislativos 2022 – 2026</w:t>
            </w:r>
            <w:r>
              <w:rPr>
                <w:noProof/>
                <w:webHidden/>
              </w:rPr>
              <w:tab/>
            </w:r>
            <w:r>
              <w:rPr>
                <w:noProof/>
                <w:webHidden/>
              </w:rPr>
              <w:fldChar w:fldCharType="begin"/>
            </w:r>
            <w:r>
              <w:rPr>
                <w:noProof/>
                <w:webHidden/>
              </w:rPr>
              <w:instrText xml:space="preserve"> PAGEREF _Toc234920374 \h </w:instrText>
            </w:r>
            <w:r>
              <w:rPr>
                <w:noProof/>
                <w:webHidden/>
              </w:rPr>
            </w:r>
            <w:r>
              <w:rPr>
                <w:noProof/>
                <w:webHidden/>
              </w:rPr>
              <w:fldChar w:fldCharType="separate"/>
            </w:r>
            <w:r>
              <w:rPr>
                <w:noProof/>
                <w:webHidden/>
              </w:rPr>
              <w:t>48</w:t>
            </w:r>
            <w:r>
              <w:rPr>
                <w:noProof/>
                <w:webHidden/>
              </w:rPr>
              <w:fldChar w:fldCharType="end"/>
            </w:r>
          </w:hyperlink>
        </w:p>
        <w:p w14:paraId="6FFDD1D1" w14:textId="5773DFBE" w:rsidR="003003CA" w:rsidRDefault="003003CA">
          <w:pPr>
            <w:pStyle w:val="TDC3"/>
            <w:tabs>
              <w:tab w:val="right" w:leader="dot" w:pos="9394"/>
            </w:tabs>
            <w:rPr>
              <w:rFonts w:asciiTheme="minorHAnsi" w:eastAsiaTheme="minorEastAsia" w:hAnsiTheme="minorHAnsi" w:cstheme="minorBidi"/>
              <w:noProof/>
            </w:rPr>
          </w:pPr>
          <w:hyperlink w:anchor="_Toc234920375" w:history="1">
            <w:r w:rsidRPr="00E74A31">
              <w:rPr>
                <w:rStyle w:val="Hipervnculo"/>
                <w:rFonts w:asciiTheme="majorHAnsi" w:hAnsiTheme="majorHAnsi" w:cstheme="majorHAnsi"/>
                <w:noProof/>
              </w:rPr>
              <w:t>2.1.3 Debates de control político</w:t>
            </w:r>
            <w:r>
              <w:rPr>
                <w:noProof/>
                <w:webHidden/>
              </w:rPr>
              <w:tab/>
            </w:r>
            <w:r>
              <w:rPr>
                <w:noProof/>
                <w:webHidden/>
              </w:rPr>
              <w:fldChar w:fldCharType="begin"/>
            </w:r>
            <w:r>
              <w:rPr>
                <w:noProof/>
                <w:webHidden/>
              </w:rPr>
              <w:instrText xml:space="preserve"> PAGEREF _Toc234920375 \h </w:instrText>
            </w:r>
            <w:r>
              <w:rPr>
                <w:noProof/>
                <w:webHidden/>
              </w:rPr>
            </w:r>
            <w:r>
              <w:rPr>
                <w:noProof/>
                <w:webHidden/>
              </w:rPr>
              <w:fldChar w:fldCharType="separate"/>
            </w:r>
            <w:r>
              <w:rPr>
                <w:noProof/>
                <w:webHidden/>
              </w:rPr>
              <w:t>53</w:t>
            </w:r>
            <w:r>
              <w:rPr>
                <w:noProof/>
                <w:webHidden/>
              </w:rPr>
              <w:fldChar w:fldCharType="end"/>
            </w:r>
          </w:hyperlink>
        </w:p>
        <w:p w14:paraId="77672BA5" w14:textId="6E91134C" w:rsidR="003003CA" w:rsidRDefault="003003CA">
          <w:pPr>
            <w:pStyle w:val="TDC2"/>
            <w:tabs>
              <w:tab w:val="right" w:leader="dot" w:pos="9394"/>
            </w:tabs>
            <w:rPr>
              <w:rFonts w:asciiTheme="minorHAnsi" w:eastAsiaTheme="minorEastAsia" w:hAnsiTheme="minorHAnsi" w:cstheme="minorBidi"/>
              <w:noProof/>
            </w:rPr>
          </w:pPr>
          <w:hyperlink w:anchor="_Toc234920376" w:history="1">
            <w:r w:rsidRPr="00E74A31">
              <w:rPr>
                <w:rStyle w:val="Hipervnculo"/>
                <w:rFonts w:asciiTheme="majorHAnsi" w:hAnsiTheme="majorHAnsi" w:cstheme="majorHAnsi"/>
                <w:noProof/>
              </w:rPr>
              <w:t>2.2 Proyectos de ley asociados a la Transición Energética Justa (2024-2026)</w:t>
            </w:r>
            <w:r>
              <w:rPr>
                <w:noProof/>
                <w:webHidden/>
              </w:rPr>
              <w:tab/>
            </w:r>
            <w:r>
              <w:rPr>
                <w:noProof/>
                <w:webHidden/>
              </w:rPr>
              <w:fldChar w:fldCharType="begin"/>
            </w:r>
            <w:r>
              <w:rPr>
                <w:noProof/>
                <w:webHidden/>
              </w:rPr>
              <w:instrText xml:space="preserve"> PAGEREF _Toc234920376 \h </w:instrText>
            </w:r>
            <w:r>
              <w:rPr>
                <w:noProof/>
                <w:webHidden/>
              </w:rPr>
            </w:r>
            <w:r>
              <w:rPr>
                <w:noProof/>
                <w:webHidden/>
              </w:rPr>
              <w:fldChar w:fldCharType="separate"/>
            </w:r>
            <w:r>
              <w:rPr>
                <w:noProof/>
                <w:webHidden/>
              </w:rPr>
              <w:t>62</w:t>
            </w:r>
            <w:r>
              <w:rPr>
                <w:noProof/>
                <w:webHidden/>
              </w:rPr>
              <w:fldChar w:fldCharType="end"/>
            </w:r>
          </w:hyperlink>
        </w:p>
        <w:p w14:paraId="4C02485C" w14:textId="438CEA84" w:rsidR="003003CA" w:rsidRDefault="003003CA">
          <w:pPr>
            <w:pStyle w:val="TDC3"/>
            <w:tabs>
              <w:tab w:val="right" w:leader="dot" w:pos="9394"/>
            </w:tabs>
            <w:rPr>
              <w:rFonts w:asciiTheme="minorHAnsi" w:eastAsiaTheme="minorEastAsia" w:hAnsiTheme="minorHAnsi" w:cstheme="minorBidi"/>
              <w:noProof/>
            </w:rPr>
          </w:pPr>
          <w:hyperlink w:anchor="_Toc234920377" w:history="1">
            <w:r w:rsidRPr="00E74A31">
              <w:rPr>
                <w:rStyle w:val="Hipervnculo"/>
                <w:rFonts w:asciiTheme="majorHAnsi" w:hAnsiTheme="majorHAnsi" w:cstheme="majorHAnsi"/>
                <w:noProof/>
                <w:lang w:val="es-ES"/>
              </w:rPr>
              <w:t>2.2.1 Proyecto de ley 134 de 2024 - Integración vertical</w:t>
            </w:r>
            <w:r>
              <w:rPr>
                <w:noProof/>
                <w:webHidden/>
              </w:rPr>
              <w:tab/>
            </w:r>
            <w:r>
              <w:rPr>
                <w:noProof/>
                <w:webHidden/>
              </w:rPr>
              <w:fldChar w:fldCharType="begin"/>
            </w:r>
            <w:r>
              <w:rPr>
                <w:noProof/>
                <w:webHidden/>
              </w:rPr>
              <w:instrText xml:space="preserve"> PAGEREF _Toc234920377 \h </w:instrText>
            </w:r>
            <w:r>
              <w:rPr>
                <w:noProof/>
                <w:webHidden/>
              </w:rPr>
            </w:r>
            <w:r>
              <w:rPr>
                <w:noProof/>
                <w:webHidden/>
              </w:rPr>
              <w:fldChar w:fldCharType="separate"/>
            </w:r>
            <w:r>
              <w:rPr>
                <w:noProof/>
                <w:webHidden/>
              </w:rPr>
              <w:t>62</w:t>
            </w:r>
            <w:r>
              <w:rPr>
                <w:noProof/>
                <w:webHidden/>
              </w:rPr>
              <w:fldChar w:fldCharType="end"/>
            </w:r>
          </w:hyperlink>
        </w:p>
        <w:p w14:paraId="0E9ECF29" w14:textId="4C073F4B" w:rsidR="003003CA" w:rsidRDefault="003003CA">
          <w:pPr>
            <w:pStyle w:val="TDC3"/>
            <w:tabs>
              <w:tab w:val="right" w:leader="dot" w:pos="9394"/>
            </w:tabs>
            <w:rPr>
              <w:rFonts w:asciiTheme="minorHAnsi" w:eastAsiaTheme="minorEastAsia" w:hAnsiTheme="minorHAnsi" w:cstheme="minorBidi"/>
              <w:noProof/>
            </w:rPr>
          </w:pPr>
          <w:hyperlink w:anchor="_Toc234920378" w:history="1">
            <w:r w:rsidRPr="00E74A31">
              <w:rPr>
                <w:rStyle w:val="Hipervnculo"/>
                <w:rFonts w:asciiTheme="majorHAnsi" w:hAnsiTheme="majorHAnsi" w:cstheme="majorHAnsi"/>
                <w:noProof/>
                <w:lang w:val="es-ES"/>
              </w:rPr>
              <w:t>2.2.2 Proyecto de ley 224 de 2024 - Ley de economía azul y ecológica</w:t>
            </w:r>
            <w:r>
              <w:rPr>
                <w:noProof/>
                <w:webHidden/>
              </w:rPr>
              <w:tab/>
            </w:r>
            <w:r>
              <w:rPr>
                <w:noProof/>
                <w:webHidden/>
              </w:rPr>
              <w:fldChar w:fldCharType="begin"/>
            </w:r>
            <w:r>
              <w:rPr>
                <w:noProof/>
                <w:webHidden/>
              </w:rPr>
              <w:instrText xml:space="preserve"> PAGEREF _Toc234920378 \h </w:instrText>
            </w:r>
            <w:r>
              <w:rPr>
                <w:noProof/>
                <w:webHidden/>
              </w:rPr>
            </w:r>
            <w:r>
              <w:rPr>
                <w:noProof/>
                <w:webHidden/>
              </w:rPr>
              <w:fldChar w:fldCharType="separate"/>
            </w:r>
            <w:r>
              <w:rPr>
                <w:noProof/>
                <w:webHidden/>
              </w:rPr>
              <w:t>64</w:t>
            </w:r>
            <w:r>
              <w:rPr>
                <w:noProof/>
                <w:webHidden/>
              </w:rPr>
              <w:fldChar w:fldCharType="end"/>
            </w:r>
          </w:hyperlink>
        </w:p>
        <w:p w14:paraId="7D7E1449" w14:textId="7234AEE2" w:rsidR="003003CA" w:rsidRDefault="003003CA">
          <w:pPr>
            <w:pStyle w:val="TDC3"/>
            <w:tabs>
              <w:tab w:val="right" w:leader="dot" w:pos="9394"/>
            </w:tabs>
            <w:rPr>
              <w:rFonts w:asciiTheme="minorHAnsi" w:eastAsiaTheme="minorEastAsia" w:hAnsiTheme="minorHAnsi" w:cstheme="minorBidi"/>
              <w:noProof/>
            </w:rPr>
          </w:pPr>
          <w:hyperlink w:anchor="_Toc234920379" w:history="1">
            <w:r w:rsidRPr="00E74A31">
              <w:rPr>
                <w:rStyle w:val="Hipervnculo"/>
                <w:rFonts w:asciiTheme="majorHAnsi" w:hAnsiTheme="majorHAnsi" w:cstheme="majorHAnsi"/>
                <w:noProof/>
                <w:lang w:val="es-ES"/>
              </w:rPr>
              <w:t>2.2.3 Proyecto de ley 273 de 2025 - Comunidades energéticas</w:t>
            </w:r>
            <w:r>
              <w:rPr>
                <w:noProof/>
                <w:webHidden/>
              </w:rPr>
              <w:tab/>
            </w:r>
            <w:r>
              <w:rPr>
                <w:noProof/>
                <w:webHidden/>
              </w:rPr>
              <w:fldChar w:fldCharType="begin"/>
            </w:r>
            <w:r>
              <w:rPr>
                <w:noProof/>
                <w:webHidden/>
              </w:rPr>
              <w:instrText xml:space="preserve"> PAGEREF _Toc234920379 \h </w:instrText>
            </w:r>
            <w:r>
              <w:rPr>
                <w:noProof/>
                <w:webHidden/>
              </w:rPr>
            </w:r>
            <w:r>
              <w:rPr>
                <w:noProof/>
                <w:webHidden/>
              </w:rPr>
              <w:fldChar w:fldCharType="separate"/>
            </w:r>
            <w:r>
              <w:rPr>
                <w:noProof/>
                <w:webHidden/>
              </w:rPr>
              <w:t>65</w:t>
            </w:r>
            <w:r>
              <w:rPr>
                <w:noProof/>
                <w:webHidden/>
              </w:rPr>
              <w:fldChar w:fldCharType="end"/>
            </w:r>
          </w:hyperlink>
        </w:p>
        <w:p w14:paraId="68DD1DCB" w14:textId="1B6C769D" w:rsidR="003003CA" w:rsidRDefault="003003CA">
          <w:pPr>
            <w:pStyle w:val="TDC3"/>
            <w:tabs>
              <w:tab w:val="right" w:leader="dot" w:pos="9394"/>
            </w:tabs>
            <w:rPr>
              <w:rFonts w:asciiTheme="minorHAnsi" w:eastAsiaTheme="minorEastAsia" w:hAnsiTheme="minorHAnsi" w:cstheme="minorBidi"/>
              <w:noProof/>
            </w:rPr>
          </w:pPr>
          <w:hyperlink w:anchor="_Toc234920380" w:history="1">
            <w:r w:rsidRPr="00E74A31">
              <w:rPr>
                <w:rStyle w:val="Hipervnculo"/>
                <w:rFonts w:asciiTheme="majorHAnsi" w:hAnsiTheme="majorHAnsi" w:cstheme="majorHAnsi"/>
                <w:noProof/>
                <w:lang w:val="es-ES"/>
              </w:rPr>
              <w:t>2.2.4 Proyecto de ley 176 de 2025 – BIOGAS</w:t>
            </w:r>
            <w:r>
              <w:rPr>
                <w:noProof/>
                <w:webHidden/>
              </w:rPr>
              <w:tab/>
            </w:r>
            <w:r>
              <w:rPr>
                <w:noProof/>
                <w:webHidden/>
              </w:rPr>
              <w:fldChar w:fldCharType="begin"/>
            </w:r>
            <w:r>
              <w:rPr>
                <w:noProof/>
                <w:webHidden/>
              </w:rPr>
              <w:instrText xml:space="preserve"> PAGEREF _Toc234920380 \h </w:instrText>
            </w:r>
            <w:r>
              <w:rPr>
                <w:noProof/>
                <w:webHidden/>
              </w:rPr>
            </w:r>
            <w:r>
              <w:rPr>
                <w:noProof/>
                <w:webHidden/>
              </w:rPr>
              <w:fldChar w:fldCharType="separate"/>
            </w:r>
            <w:r>
              <w:rPr>
                <w:noProof/>
                <w:webHidden/>
              </w:rPr>
              <w:t>67</w:t>
            </w:r>
            <w:r>
              <w:rPr>
                <w:noProof/>
                <w:webHidden/>
              </w:rPr>
              <w:fldChar w:fldCharType="end"/>
            </w:r>
          </w:hyperlink>
        </w:p>
        <w:p w14:paraId="05CCD688" w14:textId="63E6C69A" w:rsidR="003003CA" w:rsidRDefault="003003CA">
          <w:pPr>
            <w:pStyle w:val="TDC3"/>
            <w:tabs>
              <w:tab w:val="right" w:leader="dot" w:pos="9394"/>
            </w:tabs>
            <w:rPr>
              <w:rFonts w:asciiTheme="minorHAnsi" w:eastAsiaTheme="minorEastAsia" w:hAnsiTheme="minorHAnsi" w:cstheme="minorBidi"/>
              <w:noProof/>
            </w:rPr>
          </w:pPr>
          <w:hyperlink w:anchor="_Toc234920381" w:history="1">
            <w:r w:rsidRPr="00E74A31">
              <w:rPr>
                <w:rStyle w:val="Hipervnculo"/>
                <w:rFonts w:asciiTheme="majorHAnsi" w:hAnsiTheme="majorHAnsi" w:cstheme="majorHAnsi"/>
                <w:noProof/>
                <w:lang w:val="es-ES"/>
              </w:rPr>
              <w:t>2.2.5 Proyecto de ley 294 de 2025 - prohibición del fracking</w:t>
            </w:r>
            <w:r>
              <w:rPr>
                <w:noProof/>
                <w:webHidden/>
              </w:rPr>
              <w:tab/>
            </w:r>
            <w:r>
              <w:rPr>
                <w:noProof/>
                <w:webHidden/>
              </w:rPr>
              <w:fldChar w:fldCharType="begin"/>
            </w:r>
            <w:r>
              <w:rPr>
                <w:noProof/>
                <w:webHidden/>
              </w:rPr>
              <w:instrText xml:space="preserve"> PAGEREF _Toc234920381 \h </w:instrText>
            </w:r>
            <w:r>
              <w:rPr>
                <w:noProof/>
                <w:webHidden/>
              </w:rPr>
            </w:r>
            <w:r>
              <w:rPr>
                <w:noProof/>
                <w:webHidden/>
              </w:rPr>
              <w:fldChar w:fldCharType="separate"/>
            </w:r>
            <w:r>
              <w:rPr>
                <w:noProof/>
                <w:webHidden/>
              </w:rPr>
              <w:t>69</w:t>
            </w:r>
            <w:r>
              <w:rPr>
                <w:noProof/>
                <w:webHidden/>
              </w:rPr>
              <w:fldChar w:fldCharType="end"/>
            </w:r>
          </w:hyperlink>
        </w:p>
        <w:p w14:paraId="1E4ED475" w14:textId="0B823D10" w:rsidR="003003CA" w:rsidRDefault="003003CA">
          <w:pPr>
            <w:pStyle w:val="TDC3"/>
            <w:tabs>
              <w:tab w:val="right" w:leader="dot" w:pos="9394"/>
            </w:tabs>
            <w:rPr>
              <w:rFonts w:asciiTheme="minorHAnsi" w:eastAsiaTheme="minorEastAsia" w:hAnsiTheme="minorHAnsi" w:cstheme="minorBidi"/>
              <w:noProof/>
            </w:rPr>
          </w:pPr>
          <w:hyperlink w:anchor="_Toc234920382" w:history="1">
            <w:r w:rsidRPr="00E74A31">
              <w:rPr>
                <w:rStyle w:val="Hipervnculo"/>
                <w:rFonts w:asciiTheme="majorHAnsi" w:hAnsiTheme="majorHAnsi" w:cstheme="majorHAnsi"/>
                <w:noProof/>
                <w:lang w:val="es-ES"/>
              </w:rPr>
              <w:t>2.2.6 Proyecto de ley 282 de 2025 – Nueva ley minera</w:t>
            </w:r>
            <w:r>
              <w:rPr>
                <w:noProof/>
                <w:webHidden/>
              </w:rPr>
              <w:tab/>
            </w:r>
            <w:r>
              <w:rPr>
                <w:noProof/>
                <w:webHidden/>
              </w:rPr>
              <w:fldChar w:fldCharType="begin"/>
            </w:r>
            <w:r>
              <w:rPr>
                <w:noProof/>
                <w:webHidden/>
              </w:rPr>
              <w:instrText xml:space="preserve"> PAGEREF _Toc234920382 \h </w:instrText>
            </w:r>
            <w:r>
              <w:rPr>
                <w:noProof/>
                <w:webHidden/>
              </w:rPr>
            </w:r>
            <w:r>
              <w:rPr>
                <w:noProof/>
                <w:webHidden/>
              </w:rPr>
              <w:fldChar w:fldCharType="separate"/>
            </w:r>
            <w:r>
              <w:rPr>
                <w:noProof/>
                <w:webHidden/>
              </w:rPr>
              <w:t>70</w:t>
            </w:r>
            <w:r>
              <w:rPr>
                <w:noProof/>
                <w:webHidden/>
              </w:rPr>
              <w:fldChar w:fldCharType="end"/>
            </w:r>
          </w:hyperlink>
        </w:p>
        <w:p w14:paraId="5139570F" w14:textId="0A59369C" w:rsidR="003003CA" w:rsidRDefault="003003CA">
          <w:pPr>
            <w:pStyle w:val="TDC1"/>
            <w:tabs>
              <w:tab w:val="right" w:leader="dot" w:pos="9394"/>
            </w:tabs>
            <w:rPr>
              <w:rFonts w:asciiTheme="minorHAnsi" w:eastAsiaTheme="minorEastAsia" w:hAnsiTheme="minorHAnsi" w:cstheme="minorBidi"/>
              <w:noProof/>
            </w:rPr>
          </w:pPr>
          <w:hyperlink w:anchor="_Toc234920383" w:history="1">
            <w:r w:rsidRPr="00E74A31">
              <w:rPr>
                <w:rStyle w:val="Hipervnculo"/>
                <w:rFonts w:asciiTheme="majorHAnsi" w:hAnsiTheme="majorHAnsi" w:cstheme="majorHAnsi"/>
                <w:noProof/>
              </w:rPr>
              <w:t>Capítulo 3. Imaginarios frente al relacionamiento ejecutivo-legislativo</w:t>
            </w:r>
            <w:r>
              <w:rPr>
                <w:noProof/>
                <w:webHidden/>
              </w:rPr>
              <w:tab/>
            </w:r>
            <w:r>
              <w:rPr>
                <w:noProof/>
                <w:webHidden/>
              </w:rPr>
              <w:fldChar w:fldCharType="begin"/>
            </w:r>
            <w:r>
              <w:rPr>
                <w:noProof/>
                <w:webHidden/>
              </w:rPr>
              <w:instrText xml:space="preserve"> PAGEREF _Toc234920383 \h </w:instrText>
            </w:r>
            <w:r>
              <w:rPr>
                <w:noProof/>
                <w:webHidden/>
              </w:rPr>
            </w:r>
            <w:r>
              <w:rPr>
                <w:noProof/>
                <w:webHidden/>
              </w:rPr>
              <w:fldChar w:fldCharType="separate"/>
            </w:r>
            <w:r>
              <w:rPr>
                <w:noProof/>
                <w:webHidden/>
              </w:rPr>
              <w:t>73</w:t>
            </w:r>
            <w:r>
              <w:rPr>
                <w:noProof/>
                <w:webHidden/>
              </w:rPr>
              <w:fldChar w:fldCharType="end"/>
            </w:r>
          </w:hyperlink>
        </w:p>
        <w:p w14:paraId="1FCDAA06" w14:textId="2402D1E0" w:rsidR="003003CA" w:rsidRDefault="003003CA">
          <w:pPr>
            <w:pStyle w:val="TDC2"/>
            <w:tabs>
              <w:tab w:val="right" w:leader="dot" w:pos="9394"/>
            </w:tabs>
            <w:rPr>
              <w:rFonts w:asciiTheme="minorHAnsi" w:eastAsiaTheme="minorEastAsia" w:hAnsiTheme="minorHAnsi" w:cstheme="minorBidi"/>
              <w:noProof/>
            </w:rPr>
          </w:pPr>
          <w:hyperlink w:anchor="_Toc234920384" w:history="1">
            <w:r w:rsidRPr="00E74A31">
              <w:rPr>
                <w:rStyle w:val="Hipervnculo"/>
                <w:rFonts w:asciiTheme="majorHAnsi" w:hAnsiTheme="majorHAnsi" w:cstheme="majorHAnsi"/>
                <w:noProof/>
              </w:rPr>
              <w:t>3.1 Análisis grupo focal del sector minero energético</w:t>
            </w:r>
            <w:r>
              <w:rPr>
                <w:noProof/>
                <w:webHidden/>
              </w:rPr>
              <w:tab/>
            </w:r>
            <w:r>
              <w:rPr>
                <w:noProof/>
                <w:webHidden/>
              </w:rPr>
              <w:fldChar w:fldCharType="begin"/>
            </w:r>
            <w:r>
              <w:rPr>
                <w:noProof/>
                <w:webHidden/>
              </w:rPr>
              <w:instrText xml:space="preserve"> PAGEREF _Toc234920384 \h </w:instrText>
            </w:r>
            <w:r>
              <w:rPr>
                <w:noProof/>
                <w:webHidden/>
              </w:rPr>
            </w:r>
            <w:r>
              <w:rPr>
                <w:noProof/>
                <w:webHidden/>
              </w:rPr>
              <w:fldChar w:fldCharType="separate"/>
            </w:r>
            <w:r>
              <w:rPr>
                <w:noProof/>
                <w:webHidden/>
              </w:rPr>
              <w:t>73</w:t>
            </w:r>
            <w:r>
              <w:rPr>
                <w:noProof/>
                <w:webHidden/>
              </w:rPr>
              <w:fldChar w:fldCharType="end"/>
            </w:r>
          </w:hyperlink>
        </w:p>
        <w:p w14:paraId="30007E46" w14:textId="10B12F10" w:rsidR="003003CA" w:rsidRDefault="003003CA">
          <w:pPr>
            <w:pStyle w:val="TDC3"/>
            <w:tabs>
              <w:tab w:val="right" w:leader="dot" w:pos="9394"/>
            </w:tabs>
            <w:rPr>
              <w:rFonts w:asciiTheme="minorHAnsi" w:eastAsiaTheme="minorEastAsia" w:hAnsiTheme="minorHAnsi" w:cstheme="minorBidi"/>
              <w:noProof/>
            </w:rPr>
          </w:pPr>
          <w:hyperlink w:anchor="_Toc234920385" w:history="1">
            <w:r w:rsidRPr="00E74A31">
              <w:rPr>
                <w:rStyle w:val="Hipervnculo"/>
                <w:rFonts w:asciiTheme="majorHAnsi" w:hAnsiTheme="majorHAnsi" w:cstheme="majorHAnsi"/>
                <w:noProof/>
              </w:rPr>
              <w:t>3.1. Caracterización de la relación sector minero energético con el Congreso</w:t>
            </w:r>
            <w:r>
              <w:rPr>
                <w:noProof/>
                <w:webHidden/>
              </w:rPr>
              <w:tab/>
            </w:r>
            <w:r>
              <w:rPr>
                <w:noProof/>
                <w:webHidden/>
              </w:rPr>
              <w:fldChar w:fldCharType="begin"/>
            </w:r>
            <w:r>
              <w:rPr>
                <w:noProof/>
                <w:webHidden/>
              </w:rPr>
              <w:instrText xml:space="preserve"> PAGEREF _Toc234920385 \h </w:instrText>
            </w:r>
            <w:r>
              <w:rPr>
                <w:noProof/>
                <w:webHidden/>
              </w:rPr>
            </w:r>
            <w:r>
              <w:rPr>
                <w:noProof/>
                <w:webHidden/>
              </w:rPr>
              <w:fldChar w:fldCharType="separate"/>
            </w:r>
            <w:r>
              <w:rPr>
                <w:noProof/>
                <w:webHidden/>
              </w:rPr>
              <w:t>73</w:t>
            </w:r>
            <w:r>
              <w:rPr>
                <w:noProof/>
                <w:webHidden/>
              </w:rPr>
              <w:fldChar w:fldCharType="end"/>
            </w:r>
          </w:hyperlink>
        </w:p>
        <w:p w14:paraId="1DF911F5" w14:textId="378F3953" w:rsidR="003003CA" w:rsidRDefault="003003CA">
          <w:pPr>
            <w:pStyle w:val="TDC3"/>
            <w:tabs>
              <w:tab w:val="right" w:leader="dot" w:pos="9394"/>
            </w:tabs>
            <w:rPr>
              <w:rFonts w:asciiTheme="minorHAnsi" w:eastAsiaTheme="minorEastAsia" w:hAnsiTheme="minorHAnsi" w:cstheme="minorBidi"/>
              <w:noProof/>
            </w:rPr>
          </w:pPr>
          <w:hyperlink w:anchor="_Toc234920386" w:history="1">
            <w:r w:rsidRPr="00E74A31">
              <w:rPr>
                <w:rStyle w:val="Hipervnculo"/>
                <w:rFonts w:asciiTheme="majorHAnsi" w:hAnsiTheme="majorHAnsi" w:cstheme="majorHAnsi"/>
                <w:noProof/>
              </w:rPr>
              <w:t>3.2. Fragmentación institucional y falta de coherencia discursiva</w:t>
            </w:r>
            <w:r>
              <w:rPr>
                <w:noProof/>
                <w:webHidden/>
              </w:rPr>
              <w:tab/>
            </w:r>
            <w:r>
              <w:rPr>
                <w:noProof/>
                <w:webHidden/>
              </w:rPr>
              <w:fldChar w:fldCharType="begin"/>
            </w:r>
            <w:r>
              <w:rPr>
                <w:noProof/>
                <w:webHidden/>
              </w:rPr>
              <w:instrText xml:space="preserve"> PAGEREF _Toc234920386 \h </w:instrText>
            </w:r>
            <w:r>
              <w:rPr>
                <w:noProof/>
                <w:webHidden/>
              </w:rPr>
            </w:r>
            <w:r>
              <w:rPr>
                <w:noProof/>
                <w:webHidden/>
              </w:rPr>
              <w:fldChar w:fldCharType="separate"/>
            </w:r>
            <w:r>
              <w:rPr>
                <w:noProof/>
                <w:webHidden/>
              </w:rPr>
              <w:t>74</w:t>
            </w:r>
            <w:r>
              <w:rPr>
                <w:noProof/>
                <w:webHidden/>
              </w:rPr>
              <w:fldChar w:fldCharType="end"/>
            </w:r>
          </w:hyperlink>
        </w:p>
        <w:p w14:paraId="7732A543" w14:textId="6142C215" w:rsidR="003003CA" w:rsidRDefault="003003CA">
          <w:pPr>
            <w:pStyle w:val="TDC3"/>
            <w:tabs>
              <w:tab w:val="right" w:leader="dot" w:pos="9394"/>
            </w:tabs>
            <w:rPr>
              <w:rFonts w:asciiTheme="minorHAnsi" w:eastAsiaTheme="minorEastAsia" w:hAnsiTheme="minorHAnsi" w:cstheme="minorBidi"/>
              <w:noProof/>
            </w:rPr>
          </w:pPr>
          <w:hyperlink w:anchor="_Toc234920387" w:history="1">
            <w:r w:rsidRPr="00E74A31">
              <w:rPr>
                <w:rStyle w:val="Hipervnculo"/>
                <w:rFonts w:asciiTheme="majorHAnsi" w:hAnsiTheme="majorHAnsi" w:cstheme="majorHAnsi"/>
                <w:noProof/>
              </w:rPr>
              <w:t>3.3 Prácticas actuales de análisis legislativo: monitoreo sin densidad estratégica</w:t>
            </w:r>
            <w:r>
              <w:rPr>
                <w:noProof/>
                <w:webHidden/>
              </w:rPr>
              <w:tab/>
            </w:r>
            <w:r>
              <w:rPr>
                <w:noProof/>
                <w:webHidden/>
              </w:rPr>
              <w:fldChar w:fldCharType="begin"/>
            </w:r>
            <w:r>
              <w:rPr>
                <w:noProof/>
                <w:webHidden/>
              </w:rPr>
              <w:instrText xml:space="preserve"> PAGEREF _Toc234920387 \h </w:instrText>
            </w:r>
            <w:r>
              <w:rPr>
                <w:noProof/>
                <w:webHidden/>
              </w:rPr>
            </w:r>
            <w:r>
              <w:rPr>
                <w:noProof/>
                <w:webHidden/>
              </w:rPr>
              <w:fldChar w:fldCharType="separate"/>
            </w:r>
            <w:r>
              <w:rPr>
                <w:noProof/>
                <w:webHidden/>
              </w:rPr>
              <w:t>74</w:t>
            </w:r>
            <w:r>
              <w:rPr>
                <w:noProof/>
                <w:webHidden/>
              </w:rPr>
              <w:fldChar w:fldCharType="end"/>
            </w:r>
          </w:hyperlink>
        </w:p>
        <w:p w14:paraId="6CFB038F" w14:textId="367F0871" w:rsidR="003003CA" w:rsidRDefault="003003CA">
          <w:pPr>
            <w:pStyle w:val="TDC3"/>
            <w:tabs>
              <w:tab w:val="right" w:leader="dot" w:pos="9394"/>
            </w:tabs>
            <w:rPr>
              <w:rFonts w:asciiTheme="minorHAnsi" w:eastAsiaTheme="minorEastAsia" w:hAnsiTheme="minorHAnsi" w:cstheme="minorBidi"/>
              <w:noProof/>
            </w:rPr>
          </w:pPr>
          <w:hyperlink w:anchor="_Toc234920388" w:history="1">
            <w:r w:rsidRPr="00E74A31">
              <w:rPr>
                <w:rStyle w:val="Hipervnculo"/>
                <w:rFonts w:asciiTheme="majorHAnsi" w:hAnsiTheme="majorHAnsi" w:cstheme="majorHAnsi"/>
                <w:noProof/>
              </w:rPr>
              <w:t>3.4 Mecanismos que facilitan la interlocución: contención y microgestión</w:t>
            </w:r>
            <w:r>
              <w:rPr>
                <w:noProof/>
                <w:webHidden/>
              </w:rPr>
              <w:tab/>
            </w:r>
            <w:r>
              <w:rPr>
                <w:noProof/>
                <w:webHidden/>
              </w:rPr>
              <w:fldChar w:fldCharType="begin"/>
            </w:r>
            <w:r>
              <w:rPr>
                <w:noProof/>
                <w:webHidden/>
              </w:rPr>
              <w:instrText xml:space="preserve"> PAGEREF _Toc234920388 \h </w:instrText>
            </w:r>
            <w:r>
              <w:rPr>
                <w:noProof/>
                <w:webHidden/>
              </w:rPr>
            </w:r>
            <w:r>
              <w:rPr>
                <w:noProof/>
                <w:webHidden/>
              </w:rPr>
              <w:fldChar w:fldCharType="separate"/>
            </w:r>
            <w:r>
              <w:rPr>
                <w:noProof/>
                <w:webHidden/>
              </w:rPr>
              <w:t>75</w:t>
            </w:r>
            <w:r>
              <w:rPr>
                <w:noProof/>
                <w:webHidden/>
              </w:rPr>
              <w:fldChar w:fldCharType="end"/>
            </w:r>
          </w:hyperlink>
        </w:p>
        <w:p w14:paraId="74C4677A" w14:textId="4A149DFE" w:rsidR="003003CA" w:rsidRDefault="003003CA">
          <w:pPr>
            <w:pStyle w:val="TDC3"/>
            <w:tabs>
              <w:tab w:val="right" w:leader="dot" w:pos="9394"/>
            </w:tabs>
            <w:rPr>
              <w:rFonts w:asciiTheme="minorHAnsi" w:eastAsiaTheme="minorEastAsia" w:hAnsiTheme="minorHAnsi" w:cstheme="minorBidi"/>
              <w:noProof/>
            </w:rPr>
          </w:pPr>
          <w:hyperlink w:anchor="_Toc234920389" w:history="1">
            <w:r w:rsidRPr="00E74A31">
              <w:rPr>
                <w:rStyle w:val="Hipervnculo"/>
                <w:rFonts w:asciiTheme="majorHAnsi" w:hAnsiTheme="majorHAnsi" w:cstheme="majorHAnsi"/>
                <w:noProof/>
              </w:rPr>
              <w:t>3.5 Recomendaciones para fortalecer la estrategia institucional</w:t>
            </w:r>
            <w:r>
              <w:rPr>
                <w:noProof/>
                <w:webHidden/>
              </w:rPr>
              <w:tab/>
            </w:r>
            <w:r>
              <w:rPr>
                <w:noProof/>
                <w:webHidden/>
              </w:rPr>
              <w:fldChar w:fldCharType="begin"/>
            </w:r>
            <w:r>
              <w:rPr>
                <w:noProof/>
                <w:webHidden/>
              </w:rPr>
              <w:instrText xml:space="preserve"> PAGEREF _Toc234920389 \h </w:instrText>
            </w:r>
            <w:r>
              <w:rPr>
                <w:noProof/>
                <w:webHidden/>
              </w:rPr>
            </w:r>
            <w:r>
              <w:rPr>
                <w:noProof/>
                <w:webHidden/>
              </w:rPr>
              <w:fldChar w:fldCharType="separate"/>
            </w:r>
            <w:r>
              <w:rPr>
                <w:noProof/>
                <w:webHidden/>
              </w:rPr>
              <w:t>75</w:t>
            </w:r>
            <w:r>
              <w:rPr>
                <w:noProof/>
                <w:webHidden/>
              </w:rPr>
              <w:fldChar w:fldCharType="end"/>
            </w:r>
          </w:hyperlink>
        </w:p>
        <w:p w14:paraId="2DC2AE21" w14:textId="606C9546" w:rsidR="003003CA" w:rsidRDefault="003003CA">
          <w:pPr>
            <w:pStyle w:val="TDC1"/>
            <w:tabs>
              <w:tab w:val="right" w:leader="dot" w:pos="9394"/>
            </w:tabs>
            <w:rPr>
              <w:rFonts w:asciiTheme="minorHAnsi" w:eastAsiaTheme="minorEastAsia" w:hAnsiTheme="minorHAnsi" w:cstheme="minorBidi"/>
              <w:noProof/>
            </w:rPr>
          </w:pPr>
          <w:hyperlink w:anchor="_Toc234920390" w:history="1">
            <w:r w:rsidRPr="00E74A31">
              <w:rPr>
                <w:rStyle w:val="Hipervnculo"/>
                <w:noProof/>
              </w:rPr>
              <w:t>Capítulo 4. Propuesta de estrategia institucional de relacionamiento ejecutivo-legislativo</w:t>
            </w:r>
            <w:r>
              <w:rPr>
                <w:noProof/>
                <w:webHidden/>
              </w:rPr>
              <w:tab/>
            </w:r>
            <w:r>
              <w:rPr>
                <w:noProof/>
                <w:webHidden/>
              </w:rPr>
              <w:fldChar w:fldCharType="begin"/>
            </w:r>
            <w:r>
              <w:rPr>
                <w:noProof/>
                <w:webHidden/>
              </w:rPr>
              <w:instrText xml:space="preserve"> PAGEREF _Toc234920390 \h </w:instrText>
            </w:r>
            <w:r>
              <w:rPr>
                <w:noProof/>
                <w:webHidden/>
              </w:rPr>
            </w:r>
            <w:r>
              <w:rPr>
                <w:noProof/>
                <w:webHidden/>
              </w:rPr>
              <w:fldChar w:fldCharType="separate"/>
            </w:r>
            <w:r>
              <w:rPr>
                <w:noProof/>
                <w:webHidden/>
              </w:rPr>
              <w:t>76</w:t>
            </w:r>
            <w:r>
              <w:rPr>
                <w:noProof/>
                <w:webHidden/>
              </w:rPr>
              <w:fldChar w:fldCharType="end"/>
            </w:r>
          </w:hyperlink>
        </w:p>
        <w:p w14:paraId="209EF6BD" w14:textId="78522160" w:rsidR="003003CA" w:rsidRDefault="003003CA">
          <w:pPr>
            <w:pStyle w:val="TDC1"/>
            <w:tabs>
              <w:tab w:val="right" w:leader="dot" w:pos="9394"/>
            </w:tabs>
            <w:rPr>
              <w:rFonts w:asciiTheme="minorHAnsi" w:eastAsiaTheme="minorEastAsia" w:hAnsiTheme="minorHAnsi" w:cstheme="minorBidi"/>
              <w:noProof/>
            </w:rPr>
          </w:pPr>
          <w:hyperlink w:anchor="_Toc234920391" w:history="1">
            <w:r w:rsidRPr="00E74A31">
              <w:rPr>
                <w:rStyle w:val="Hipervnculo"/>
                <w:rFonts w:asciiTheme="majorHAnsi" w:hAnsiTheme="majorHAnsi" w:cstheme="majorHAnsi"/>
                <w:noProof/>
              </w:rPr>
              <w:t>Referencias</w:t>
            </w:r>
            <w:r>
              <w:rPr>
                <w:noProof/>
                <w:webHidden/>
              </w:rPr>
              <w:tab/>
            </w:r>
            <w:r>
              <w:rPr>
                <w:noProof/>
                <w:webHidden/>
              </w:rPr>
              <w:fldChar w:fldCharType="begin"/>
            </w:r>
            <w:r>
              <w:rPr>
                <w:noProof/>
                <w:webHidden/>
              </w:rPr>
              <w:instrText xml:space="preserve"> PAGEREF _Toc234920391 \h </w:instrText>
            </w:r>
            <w:r>
              <w:rPr>
                <w:noProof/>
                <w:webHidden/>
              </w:rPr>
            </w:r>
            <w:r>
              <w:rPr>
                <w:noProof/>
                <w:webHidden/>
              </w:rPr>
              <w:fldChar w:fldCharType="separate"/>
            </w:r>
            <w:r>
              <w:rPr>
                <w:noProof/>
                <w:webHidden/>
              </w:rPr>
              <w:t>76</w:t>
            </w:r>
            <w:r>
              <w:rPr>
                <w:noProof/>
                <w:webHidden/>
              </w:rPr>
              <w:fldChar w:fldCharType="end"/>
            </w:r>
          </w:hyperlink>
        </w:p>
        <w:p w14:paraId="411A8455" w14:textId="0D6C86D5" w:rsidR="00B676BC" w:rsidRPr="00CD0C90" w:rsidRDefault="00B676BC" w:rsidP="00CD0C90">
          <w:pPr>
            <w:rPr>
              <w:rFonts w:asciiTheme="majorHAnsi" w:hAnsiTheme="majorHAnsi" w:cstheme="majorHAnsi"/>
            </w:rPr>
          </w:pPr>
          <w:r w:rsidRPr="00CD0C90">
            <w:rPr>
              <w:rFonts w:asciiTheme="majorHAnsi" w:hAnsiTheme="majorHAnsi" w:cstheme="majorHAnsi"/>
              <w:b/>
              <w:bCs/>
              <w:lang w:val="es-MX"/>
            </w:rPr>
            <w:fldChar w:fldCharType="end"/>
          </w:r>
        </w:p>
      </w:sdtContent>
    </w:sdt>
    <w:p w14:paraId="5F3C5A38" w14:textId="77777777" w:rsidR="00B676BC" w:rsidRPr="00CD0C90" w:rsidRDefault="00B676BC" w:rsidP="00A96D18">
      <w:pPr>
        <w:pStyle w:val="Ttulo1"/>
        <w:spacing w:line="276" w:lineRule="auto"/>
        <w:jc w:val="left"/>
        <w:rPr>
          <w:rFonts w:asciiTheme="majorHAnsi" w:hAnsiTheme="majorHAnsi" w:cstheme="majorHAnsi"/>
          <w:sz w:val="22"/>
          <w:szCs w:val="22"/>
        </w:rPr>
      </w:pPr>
    </w:p>
    <w:p w14:paraId="00952938" w14:textId="21F56BFC" w:rsidR="009B1480" w:rsidRPr="00CD0C90" w:rsidRDefault="734E57EF" w:rsidP="00CD0C90">
      <w:pPr>
        <w:pStyle w:val="Ttulo1"/>
        <w:spacing w:line="276" w:lineRule="auto"/>
        <w:rPr>
          <w:rFonts w:asciiTheme="majorHAnsi" w:hAnsiTheme="majorHAnsi" w:cstheme="majorHAnsi"/>
          <w:sz w:val="22"/>
          <w:szCs w:val="22"/>
        </w:rPr>
      </w:pPr>
      <w:bookmarkStart w:id="0" w:name="_Toc234920339"/>
      <w:r w:rsidRPr="00CD0C90">
        <w:rPr>
          <w:rFonts w:asciiTheme="majorHAnsi" w:hAnsiTheme="majorHAnsi" w:cstheme="majorHAnsi"/>
          <w:sz w:val="22"/>
          <w:szCs w:val="22"/>
        </w:rPr>
        <w:t>Introducción</w:t>
      </w:r>
      <w:bookmarkEnd w:id="0"/>
    </w:p>
    <w:p w14:paraId="526C67C7" w14:textId="35AB9682" w:rsidR="110633E4" w:rsidRPr="00CD0C90" w:rsidRDefault="110633E4" w:rsidP="00CD0C90">
      <w:pPr>
        <w:pStyle w:val="Prrafodelista"/>
        <w:ind w:left="0"/>
        <w:jc w:val="both"/>
        <w:rPr>
          <w:rFonts w:asciiTheme="majorHAnsi" w:hAnsiTheme="majorHAnsi" w:cstheme="majorHAnsi"/>
          <w:color w:val="000000" w:themeColor="text1"/>
          <w:lang w:val="es-ES"/>
        </w:rPr>
      </w:pPr>
    </w:p>
    <w:p w14:paraId="12B41C86" w14:textId="0EC4A036" w:rsidR="21E1C73D" w:rsidRPr="00CD0C90" w:rsidRDefault="21E1C73D" w:rsidP="00CD0C90">
      <w:pPr>
        <w:pStyle w:val="Prrafodelista"/>
        <w:ind w:left="0"/>
        <w:jc w:val="both"/>
        <w:rPr>
          <w:rFonts w:asciiTheme="majorHAnsi" w:hAnsiTheme="majorHAnsi" w:cstheme="majorHAnsi"/>
          <w:color w:val="000000" w:themeColor="text1"/>
          <w:lang w:val="es-ES"/>
        </w:rPr>
      </w:pPr>
      <w:r w:rsidRPr="00CD0C90">
        <w:rPr>
          <w:rFonts w:asciiTheme="majorHAnsi" w:hAnsiTheme="majorHAnsi" w:cstheme="majorHAnsi"/>
          <w:color w:val="000000" w:themeColor="text1"/>
          <w:lang w:val="es-ES"/>
        </w:rPr>
        <w:t>La transición energética justa se ha convertido en uno de los principales desafíos de la política pública en Colombia, al pretender alcanzar la sustitución progresiva de los combustibles fósiles por fuentes renovables y sostenibles, en un marco que garantice justicia social, equidad territorial y legitimidad institucional. Este proceso, que constituye uno de los grandes ejes de acción del gobierno nacional, no depende únicamente de la capacidad técnica del Ministerio de Minas y Energía, sino también de la solidez de su relación con el Congreso de la República, institución que ejerce funciones de control político y legislativo y que resulta indispensable para la aprobación de normas y el respaldo a las políticas del sector.</w:t>
      </w:r>
    </w:p>
    <w:p w14:paraId="74FF3C8A" w14:textId="3D45DB8C" w:rsidR="21E1C73D" w:rsidRPr="00CD0C90" w:rsidRDefault="21E1C73D" w:rsidP="00CD0C90">
      <w:pPr>
        <w:pStyle w:val="Prrafodelista"/>
        <w:ind w:left="0"/>
        <w:jc w:val="both"/>
        <w:rPr>
          <w:rFonts w:asciiTheme="majorHAnsi" w:hAnsiTheme="majorHAnsi" w:cstheme="majorHAnsi"/>
        </w:rPr>
      </w:pPr>
      <w:r w:rsidRPr="00CD0C90">
        <w:rPr>
          <w:rFonts w:asciiTheme="majorHAnsi" w:hAnsiTheme="majorHAnsi" w:cstheme="majorHAnsi"/>
          <w:color w:val="000000" w:themeColor="text1"/>
          <w:lang w:val="es-ES"/>
        </w:rPr>
        <w:t xml:space="preserve"> </w:t>
      </w:r>
    </w:p>
    <w:p w14:paraId="7D90C3A4" w14:textId="599C1433" w:rsidR="21E1C73D" w:rsidRPr="00CD0C90" w:rsidRDefault="21E1C73D" w:rsidP="00CD0C90">
      <w:pPr>
        <w:pStyle w:val="Prrafodelista"/>
        <w:ind w:left="0"/>
        <w:jc w:val="both"/>
        <w:rPr>
          <w:rFonts w:asciiTheme="majorHAnsi" w:hAnsiTheme="majorHAnsi" w:cstheme="majorHAnsi"/>
        </w:rPr>
      </w:pPr>
      <w:r w:rsidRPr="00CD0C90">
        <w:rPr>
          <w:rFonts w:asciiTheme="majorHAnsi" w:hAnsiTheme="majorHAnsi" w:cstheme="majorHAnsi"/>
          <w:color w:val="000000" w:themeColor="text1"/>
          <w:lang w:val="es-ES"/>
        </w:rPr>
        <w:t>La interacción entre estas dos entidades ha estado marcada por tensiones y limitaciones que reflejan la ausencia de un análisis estratégico legislativo robusto. En lugar de consolidar un relacionamiento institucional estable y coherente, la dinámica ha tendido a fragmentarse y a depender de vínculos personales, lo que dificulta la construcción de consensos duraderos y la articulación de una agenda legislativa alineada con los objetivos de la transición energética. Esta situación plantea un reto para el Estado colombiano: fortalecer los mecanismos de análisis y gestión legislativa que permitan superar la informalidad y avanzar hacia una estrategia institucional capaz de sostener políticas públicas de largo plazo.</w:t>
      </w:r>
    </w:p>
    <w:p w14:paraId="4DE8FA39" w14:textId="564812A2" w:rsidR="21E1C73D" w:rsidRPr="00CD0C90" w:rsidRDefault="21E1C73D" w:rsidP="00CD0C90">
      <w:pPr>
        <w:pStyle w:val="Prrafodelista"/>
        <w:ind w:left="0"/>
        <w:jc w:val="both"/>
        <w:rPr>
          <w:rFonts w:asciiTheme="majorHAnsi" w:hAnsiTheme="majorHAnsi" w:cstheme="majorHAnsi"/>
        </w:rPr>
      </w:pPr>
      <w:r w:rsidRPr="00CD0C90">
        <w:rPr>
          <w:rFonts w:asciiTheme="majorHAnsi" w:hAnsiTheme="majorHAnsi" w:cstheme="majorHAnsi"/>
          <w:color w:val="000000" w:themeColor="text1"/>
          <w:lang w:val="es-ES"/>
        </w:rPr>
        <w:t xml:space="preserve"> </w:t>
      </w:r>
    </w:p>
    <w:p w14:paraId="4B762544" w14:textId="2BC4E4B0" w:rsidR="21E1C73D" w:rsidRPr="00CD0C90" w:rsidRDefault="21E1C73D" w:rsidP="00CD0C90">
      <w:pPr>
        <w:pStyle w:val="Prrafodelista"/>
        <w:ind w:left="0"/>
        <w:jc w:val="both"/>
        <w:rPr>
          <w:rFonts w:asciiTheme="majorHAnsi" w:hAnsiTheme="majorHAnsi" w:cstheme="majorHAnsi"/>
        </w:rPr>
      </w:pPr>
      <w:r w:rsidRPr="00CD0C90">
        <w:rPr>
          <w:rFonts w:asciiTheme="majorHAnsi" w:hAnsiTheme="majorHAnsi" w:cstheme="majorHAnsi"/>
          <w:color w:val="000000" w:themeColor="text1"/>
          <w:lang w:val="es-ES"/>
        </w:rPr>
        <w:t>En este sentido, esta investigación se orienta a examinar cómo las debilidades del análisis estratégico legislativo condicionan la relación entre el Ministerio de Minas y Energía y el Congreso de la República, y a partir de ello, explorar alternativas institucionales que contribuyan a mejorar su interacción.</w:t>
      </w:r>
    </w:p>
    <w:p w14:paraId="178EE22E" w14:textId="040DCDBC" w:rsidR="21E1C73D" w:rsidRPr="00CD0C90" w:rsidRDefault="21E1C73D" w:rsidP="00CD0C90">
      <w:pPr>
        <w:pStyle w:val="Prrafodelista"/>
        <w:ind w:left="0"/>
        <w:jc w:val="both"/>
        <w:rPr>
          <w:rFonts w:asciiTheme="majorHAnsi" w:hAnsiTheme="majorHAnsi" w:cstheme="majorHAnsi"/>
        </w:rPr>
      </w:pPr>
      <w:r w:rsidRPr="00CD0C90">
        <w:rPr>
          <w:rFonts w:asciiTheme="majorHAnsi" w:hAnsiTheme="majorHAnsi" w:cstheme="majorHAnsi"/>
          <w:color w:val="000000" w:themeColor="text1"/>
          <w:lang w:val="es-ES"/>
        </w:rPr>
        <w:t xml:space="preserve"> </w:t>
      </w:r>
    </w:p>
    <w:p w14:paraId="24F870FD" w14:textId="5B5A5A35" w:rsidR="21E1C73D" w:rsidRPr="00CD0C90" w:rsidRDefault="21E1C73D" w:rsidP="00CD0C90">
      <w:pPr>
        <w:pStyle w:val="Prrafodelista"/>
        <w:ind w:left="0"/>
        <w:jc w:val="both"/>
        <w:rPr>
          <w:rFonts w:asciiTheme="majorHAnsi" w:hAnsiTheme="majorHAnsi" w:cstheme="majorHAnsi"/>
        </w:rPr>
      </w:pPr>
      <w:r w:rsidRPr="00CD0C90">
        <w:rPr>
          <w:rFonts w:asciiTheme="majorHAnsi" w:hAnsiTheme="majorHAnsi" w:cstheme="majorHAnsi"/>
          <w:color w:val="000000" w:themeColor="text1"/>
          <w:lang w:val="es-ES"/>
        </w:rPr>
        <w:t xml:space="preserve">Para ello, este documento, se organiza en tres capítulos. El primero hace una caracterización de la relación actual entre el Ministerio de Minas y Energía y el Congreso de la República, destacando el peso de los vínculos personales frente a las estructuras institucionales. El segundo capítulo analiza las debilidades del análisis estratégico legislativo reconocidas por el Ministerio como limitantes para una relación más efectiva con el Congreso. Finalmente, el tercer capítulo propone estrategias institucionales que el Ministerio puede impulsar para fortalecer su relación con el Congreso y garantizar la consolidación de una transición energética justa. </w:t>
      </w:r>
    </w:p>
    <w:p w14:paraId="75D6B78F" w14:textId="18308781" w:rsidR="21E1C73D" w:rsidRPr="00CD0C90" w:rsidRDefault="21E1C73D" w:rsidP="00CD0C90">
      <w:pPr>
        <w:pStyle w:val="Prrafodelista"/>
        <w:ind w:left="0"/>
        <w:jc w:val="both"/>
        <w:rPr>
          <w:rFonts w:asciiTheme="majorHAnsi" w:hAnsiTheme="majorHAnsi" w:cstheme="majorHAnsi"/>
        </w:rPr>
      </w:pPr>
      <w:r w:rsidRPr="00CD0C90">
        <w:rPr>
          <w:rFonts w:asciiTheme="majorHAnsi" w:hAnsiTheme="majorHAnsi" w:cstheme="majorHAnsi"/>
          <w:color w:val="000000" w:themeColor="text1"/>
          <w:lang w:val="es-ES"/>
        </w:rPr>
        <w:t xml:space="preserve"> </w:t>
      </w:r>
    </w:p>
    <w:p w14:paraId="61E880AB" w14:textId="05572593" w:rsidR="009B1480" w:rsidRPr="00CD0C90" w:rsidRDefault="21E1C73D" w:rsidP="00CD0C90">
      <w:pPr>
        <w:pStyle w:val="Prrafodelista"/>
        <w:ind w:left="0"/>
        <w:jc w:val="both"/>
        <w:rPr>
          <w:rFonts w:asciiTheme="majorHAnsi" w:hAnsiTheme="majorHAnsi" w:cstheme="majorHAnsi"/>
        </w:rPr>
      </w:pPr>
      <w:r w:rsidRPr="00CD0C90">
        <w:rPr>
          <w:rFonts w:asciiTheme="majorHAnsi" w:hAnsiTheme="majorHAnsi" w:cstheme="majorHAnsi"/>
          <w:color w:val="000000" w:themeColor="text1"/>
          <w:lang w:val="es-ES"/>
        </w:rPr>
        <w:t>Esta investigación, constituye así un insumo fundamental para el diseño de estrategias institucionales que fortalezcan la interlocución entre el Ministerio de Minas y Energía y el legislativo, permitiendo acelerar la formulación e implementación de la transición energética justa.</w:t>
      </w:r>
    </w:p>
    <w:p w14:paraId="0E0577FF" w14:textId="36F86751" w:rsidR="739DF293" w:rsidRPr="00CD0C90" w:rsidRDefault="739DF293" w:rsidP="00CD0C90">
      <w:pPr>
        <w:pStyle w:val="Ttulo1"/>
        <w:spacing w:line="276" w:lineRule="auto"/>
        <w:rPr>
          <w:rFonts w:asciiTheme="majorHAnsi" w:hAnsiTheme="majorHAnsi" w:cstheme="majorHAnsi"/>
          <w:sz w:val="22"/>
          <w:szCs w:val="22"/>
        </w:rPr>
      </w:pPr>
      <w:bookmarkStart w:id="1" w:name="_Hlk234698182"/>
      <w:bookmarkStart w:id="2" w:name="_Toc234920340"/>
      <w:r w:rsidRPr="00CD0C90">
        <w:rPr>
          <w:rFonts w:asciiTheme="majorHAnsi" w:hAnsiTheme="majorHAnsi" w:cstheme="majorHAnsi"/>
          <w:sz w:val="22"/>
          <w:szCs w:val="22"/>
        </w:rPr>
        <w:lastRenderedPageBreak/>
        <w:t>Marco teórico</w:t>
      </w:r>
      <w:bookmarkEnd w:id="2"/>
    </w:p>
    <w:p w14:paraId="09DB35F7" w14:textId="107C8558" w:rsidR="7A4171CF" w:rsidRPr="00CD0C90" w:rsidRDefault="7A4171CF" w:rsidP="00CD0C90">
      <w:pPr>
        <w:spacing w:after="16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Este apartado presenta la estructura analítica de las categorías que orientan esta investigación, para presentar los debates más importantes en los que se enmarcan el relacionamiento de los poderes ejecutivo y legislativo, y su influencia en las políticas públicas, en este caso, en la política de TEJ. En primer lugar, se presenta una descripción de la teoría de pesos y contrapesos del poder público, a la luz de la teoría de la separación de poderes. En segundo lugar, se hará una breve explicación de las teorías de relacionamiento entre el ejecutivo y el legislativo, así como los mecanismos que definen su relación. Finalmente, se realizará una síntesis de las teorías de análisis de políticas públicas que se utilizarán para analizar la forma en que el relacionamiento entre el Ministerio de Minas y Energía y el Congreso de la República incide en la formulación de la política pública de transición energética.</w:t>
      </w:r>
    </w:p>
    <w:p w14:paraId="599128BA" w14:textId="06FE1F30" w:rsidR="7A4171CF" w:rsidRPr="00CD0C90" w:rsidRDefault="7A4171CF" w:rsidP="00CD0C90">
      <w:pPr>
        <w:pStyle w:val="Ttulo3"/>
        <w:spacing w:line="276" w:lineRule="auto"/>
        <w:rPr>
          <w:rFonts w:asciiTheme="majorHAnsi" w:hAnsiTheme="majorHAnsi" w:cstheme="majorHAnsi"/>
          <w:color w:val="000000" w:themeColor="text1"/>
          <w:sz w:val="22"/>
          <w:szCs w:val="22"/>
        </w:rPr>
      </w:pPr>
      <w:bookmarkStart w:id="3" w:name="_Toc234920341"/>
      <w:r w:rsidRPr="00CD0C90">
        <w:rPr>
          <w:rFonts w:asciiTheme="majorHAnsi" w:hAnsiTheme="majorHAnsi" w:cstheme="majorHAnsi"/>
          <w:sz w:val="22"/>
          <w:szCs w:val="22"/>
          <w:lang w:val="es-ES"/>
        </w:rPr>
        <w:t>Teoría de la separación de poderes</w:t>
      </w:r>
      <w:bookmarkEnd w:id="3"/>
      <w:r w:rsidRPr="00CD0C90">
        <w:rPr>
          <w:rFonts w:asciiTheme="majorHAnsi" w:hAnsiTheme="majorHAnsi" w:cstheme="majorHAnsi"/>
          <w:color w:val="000000" w:themeColor="text1"/>
          <w:sz w:val="22"/>
          <w:szCs w:val="22"/>
          <w:lang w:val="es-ES"/>
        </w:rPr>
        <w:t xml:space="preserve"> </w:t>
      </w:r>
    </w:p>
    <w:p w14:paraId="3F792AFD" w14:textId="199B1A7C" w:rsidR="7A4171CF" w:rsidRPr="00CD0C90" w:rsidRDefault="7A4171CF" w:rsidP="00CD0C90">
      <w:pPr>
        <w:spacing w:after="16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De acuerdo con la teoría clásica de Montesquieu (1748), la autoridad política en un Estado debe dividirse en tres poderes, ejecutivo, legislativo y judicial, los cuales, a su vez, deben estar en manos de individuos diferentes, que a su vez puedan ejercer un control mutuo, para limitar el poder excesivo y garantizar la libertad de los ciudadanos.</w:t>
      </w:r>
    </w:p>
    <w:p w14:paraId="33A17961" w14:textId="54D281A2" w:rsidR="7A4171CF" w:rsidRPr="00CD0C90" w:rsidRDefault="7A4171CF" w:rsidP="00CD0C90">
      <w:pPr>
        <w:spacing w:after="16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 xml:space="preserve">No obstante, la teoría de la separación de poderes, ampliamente aceptada en el constitucionalismo moderno, e incorporada en la Constitución Política de Colombia de 1991, como se establece en los artículos 113 a 121, no será objeto de discusión en este marco teórico, dado su carácter canónico y su aplicación estructural al diseño del Estado colombiano. En su lugar, este trabajo, el cual se centrará en un enfoque que une la doctrina pura con la </w:t>
      </w:r>
      <w:r w:rsidRPr="00CD0C90">
        <w:rPr>
          <w:rFonts w:asciiTheme="majorHAnsi" w:hAnsiTheme="majorHAnsi" w:cstheme="majorHAnsi"/>
          <w:b/>
          <w:bCs/>
          <w:color w:val="000000" w:themeColor="text1"/>
          <w:lang w:val="es-ES"/>
        </w:rPr>
        <w:t>teoría de los pesos y contrapesos de estos poderes</w:t>
      </w:r>
      <w:r w:rsidRPr="00CD0C90">
        <w:rPr>
          <w:rFonts w:asciiTheme="majorHAnsi" w:hAnsiTheme="majorHAnsi" w:cstheme="majorHAnsi"/>
          <w:color w:val="000000" w:themeColor="text1"/>
          <w:lang w:val="es-ES"/>
        </w:rPr>
        <w:t xml:space="preserve"> (checks and balances), una noción que se introdujo en el constitucionalismo británico, francés y norteamericano (Negretto 2003, en Puyana, 2008; Rojas, 2022) y más adelante en América Latina, con algunas variaciones, a partir de la formulación del Estado desde las primeras constituciones.</w:t>
      </w:r>
    </w:p>
    <w:p w14:paraId="7AFFE993" w14:textId="6619110B" w:rsidR="7A4171CF" w:rsidRPr="00CD0C90" w:rsidRDefault="7A4171CF" w:rsidP="00CD0C90">
      <w:pPr>
        <w:spacing w:after="16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Estas dos teorías permiten comprender que cada rama del poder tiene la competencia de interferir parcialmente en las funciones de las otras (Vile, 2007), de manera tal que pueda ejercer un control efectivo de sus acciones, y, a su vez, el ejecutivo y el legislativo se ven obligados a cooperar, es decir, a construir acuerdos para el cumplimiento de sus objetivos institucionales y faciliten los objetivos individuales de otros actores en el funcionamiento del Estado social de derecho (Vargas, 1999 en: Uribe, 2021).</w:t>
      </w:r>
    </w:p>
    <w:p w14:paraId="68A2F5E5" w14:textId="08752B9F" w:rsidR="7A4171CF" w:rsidRPr="00CD0C90" w:rsidRDefault="7A4171CF" w:rsidP="00CD0C90">
      <w:pPr>
        <w:spacing w:after="16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Cabe resaltar que, la doctrina pura, es decir, aquella donde los órganos independientes ejercen funciones exclusivas, se distingue según Vile (2007) de las formulaciones mixtas históricas en las que se enmarcan los planteamientos teóricos de Locke o Montesquieu, haciendo énfasis en los mecanismos recíprocos de control para evitar las concentraciones de poder.</w:t>
      </w:r>
    </w:p>
    <w:p w14:paraId="454EC69B" w14:textId="5A4AAE4E" w:rsidR="7A4171CF" w:rsidRPr="00CD0C90" w:rsidRDefault="7A4171CF" w:rsidP="00CD0C90">
      <w:pPr>
        <w:spacing w:after="16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 xml:space="preserve">La idea del control entre las tres ramas del poder público también se ha apoyado en la idea de frenos y contrapesos (checks and balances), una noción que se introdujo primero en Estados Unidos, impulsado principalmente por el expresidente James Madison (Negretto 2003, en Puyana, 2008) y más adelante en </w:t>
      </w:r>
      <w:r w:rsidRPr="00CD0C90">
        <w:rPr>
          <w:rFonts w:asciiTheme="majorHAnsi" w:hAnsiTheme="majorHAnsi" w:cstheme="majorHAnsi"/>
          <w:color w:val="000000" w:themeColor="text1"/>
          <w:lang w:val="es-ES"/>
        </w:rPr>
        <w:lastRenderedPageBreak/>
        <w:t xml:space="preserve">América Latina, con algunas variaciones, a partir de la formulación del Estado desde las primeras constituciones. </w:t>
      </w:r>
    </w:p>
    <w:p w14:paraId="7B7DE66E" w14:textId="593DA4B8" w:rsidR="7A4171CF" w:rsidRPr="00CD0C90" w:rsidRDefault="7A4171CF" w:rsidP="00CD0C90">
      <w:pPr>
        <w:spacing w:after="16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 xml:space="preserve">A partir de ese concepto, O’Donnell (1998, p. 19 en Puyana, 2008, p. 65) introduce la definición de </w:t>
      </w:r>
      <w:r w:rsidRPr="00CD0C90">
        <w:rPr>
          <w:rFonts w:asciiTheme="majorHAnsi" w:hAnsiTheme="majorHAnsi" w:cstheme="majorHAnsi"/>
          <w:b/>
          <w:bCs/>
          <w:color w:val="000000" w:themeColor="text1"/>
          <w:lang w:val="es-ES"/>
        </w:rPr>
        <w:t>accountability horizontal</w:t>
      </w:r>
      <w:r w:rsidRPr="00CD0C90">
        <w:rPr>
          <w:rFonts w:asciiTheme="majorHAnsi" w:hAnsiTheme="majorHAnsi" w:cstheme="majorHAnsi"/>
          <w:color w:val="000000" w:themeColor="text1"/>
          <w:lang w:val="es-ES"/>
        </w:rPr>
        <w:t xml:space="preserve"> para referirse al control que ejercen entidades estatales entre sí, es decir,</w:t>
      </w:r>
    </w:p>
    <w:p w14:paraId="7A274DDF" w14:textId="53FEAC35" w:rsidR="7A4171CF" w:rsidRPr="00CD0C90" w:rsidRDefault="7A4171CF" w:rsidP="00CD0C90">
      <w:pPr>
        <w:spacing w:after="160"/>
        <w:ind w:left="708"/>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"la existencia de agencias estatales que tienen autoridad legal y están tácticamente dispuestas y capacitadas (empowered) para emprender acciones que van desde el control rutinario hasta sanciones penales o incluso impeachment, en relación con actos u omisiones de otros agentes o agencias del Estado que pueden, en principio o presuntamente, ser calificadas como ilícitos".</w:t>
      </w:r>
    </w:p>
    <w:p w14:paraId="39E6C604" w14:textId="0B1E5234" w:rsidR="7A4171CF" w:rsidRPr="00CD0C90" w:rsidRDefault="7A4171CF" w:rsidP="00CD0C90">
      <w:pPr>
        <w:spacing w:after="16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El control surge a partir del diseño institucional del accountability horizontal y puede ejercerse de dos formas (Sartori, 1987, en Puyana, 2008): bien sea como control jurídico o como control político. El primero de ellos alude a la participación del Congreso en el diseño de las políticas, mientras que el segundo se refiere al control sobre su implementación.</w:t>
      </w:r>
    </w:p>
    <w:p w14:paraId="47DB733B" w14:textId="33EEDB1D" w:rsidR="7A4171CF" w:rsidRPr="00CD0C90" w:rsidRDefault="7A4171CF" w:rsidP="00CD0C90">
      <w:pPr>
        <w:spacing w:after="16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A nivel latinoamericano, el estudio del control entre las ramas del poder público para prevenir la concentración de poderes ha tenido especial énfasis en el abordaje del presidencialismo. De esta forma, Freitas (2016, en Uribe, 2021) explica que el poder del ejecutivo suele asociarse a la materialización del éxito de la agenda legislativa que plantea, lo que plantea el debate sobre cuál es el rol del legislativo en una democracia. No obstante, el autor señala que, si bien los poderes del presidente tienen la capacidad de alterar los incentivos del legislativo, el resultado del proceso legislativo obedece a otra cuestión, porque, aunque los primeros faciliten la formación de coaliciones en el proceso, los legisladores tienen la posibilidad de declararse en oposición y alterar los proyectos de ley que nacen por iniciativa del ejecutivo, por lo que, no necesariamente un ejecutivo fuerte implica la existencia de un legislativo débil.</w:t>
      </w:r>
    </w:p>
    <w:p w14:paraId="327420F5" w14:textId="32D5C622" w:rsidR="7A4171CF" w:rsidRPr="00CD0C90" w:rsidRDefault="7A4171CF" w:rsidP="00CD0C90">
      <w:pPr>
        <w:spacing w:after="16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 xml:space="preserve">El control político que ejerce el Congreso de la República sobre el gobierno y la administración (CP, art. 114) se caracteriza principalmente por su carácter subjetivo, en tanto parte de la confianza y oportunidad entre el Congreso y el </w:t>
      </w:r>
      <w:r w:rsidR="001D4B0A" w:rsidRPr="00CD0C90">
        <w:rPr>
          <w:rFonts w:asciiTheme="majorHAnsi" w:hAnsiTheme="majorHAnsi" w:cstheme="majorHAnsi"/>
          <w:color w:val="000000" w:themeColor="text1"/>
          <w:lang w:val="es-ES"/>
        </w:rPr>
        <w:t>ejecutivo</w:t>
      </w:r>
      <w:r w:rsidRPr="00CD0C90">
        <w:rPr>
          <w:rFonts w:asciiTheme="majorHAnsi" w:hAnsiTheme="majorHAnsi" w:cstheme="majorHAnsi"/>
          <w:color w:val="000000" w:themeColor="text1"/>
          <w:lang w:val="es-ES"/>
        </w:rPr>
        <w:t>, y su valoración se basa en la libre apreciación de quien juzga, realizando una interpretación política sustentada en diversas motivaciones (Rojas, 2022). Este control se presenta a través de mecanismos como citaciones ministeriales, requerimiento de informes de gestión periódicos, mociones de censura, debates de control político, audiencias públicas y la revisión del presupuesto, entre otros.</w:t>
      </w:r>
    </w:p>
    <w:p w14:paraId="64071F44" w14:textId="477F1800" w:rsidR="7A4171CF" w:rsidRPr="00CD0C90" w:rsidRDefault="7A4171CF" w:rsidP="00CD0C90">
      <w:pPr>
        <w:pStyle w:val="Ttulo3"/>
        <w:spacing w:line="276" w:lineRule="auto"/>
        <w:rPr>
          <w:rFonts w:asciiTheme="majorHAnsi" w:hAnsiTheme="majorHAnsi" w:cstheme="majorHAnsi"/>
          <w:sz w:val="22"/>
          <w:szCs w:val="22"/>
        </w:rPr>
      </w:pPr>
      <w:bookmarkStart w:id="4" w:name="_Toc234920342"/>
      <w:r w:rsidRPr="00CD0C90">
        <w:rPr>
          <w:rFonts w:asciiTheme="majorHAnsi" w:hAnsiTheme="majorHAnsi" w:cstheme="majorHAnsi"/>
          <w:sz w:val="22"/>
          <w:szCs w:val="22"/>
          <w:lang w:val="es-ES"/>
        </w:rPr>
        <w:t>Relación ejecutivo-legislativo</w:t>
      </w:r>
      <w:bookmarkEnd w:id="4"/>
    </w:p>
    <w:p w14:paraId="4CB7EA59" w14:textId="3F182D21" w:rsidR="7A4171CF" w:rsidRPr="00CD0C90" w:rsidRDefault="7A4171CF" w:rsidP="00CD0C90">
      <w:pPr>
        <w:spacing w:after="16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 xml:space="preserve">El estudio de las relaciones entre el ejecutivo y el legislativo en Latinoamérica tiene un abordaje importante a partir de los años 90, con la literatura enfocada en los sistemas políticos. Entre las investigaciones más relevantes sobre el tema se encuentra el estudio de Linz (1990, en Puyana, 2008), que aseguró que la inestabilidad de la región se debía a la difícil interacción entre estas ramas del poder. De acuerdo con este autor, la "legitimidad democrática dual" derivada de la elección popular del presidente y del congreso, así como la rigidez del sistema, producto de la elección de ambos poderes para un período </w:t>
      </w:r>
      <w:r w:rsidRPr="00CD0C90">
        <w:rPr>
          <w:rFonts w:asciiTheme="majorHAnsi" w:hAnsiTheme="majorHAnsi" w:cstheme="majorHAnsi"/>
          <w:color w:val="000000" w:themeColor="text1"/>
          <w:lang w:val="es-ES"/>
        </w:rPr>
        <w:lastRenderedPageBreak/>
        <w:t>fijo, conlleva a un conflicto latente entre ambas autoridades, el cual podía terminar en parálisis legislativa ocasionado por un choque de competencias y legitimidades.</w:t>
      </w:r>
    </w:p>
    <w:p w14:paraId="6A250FDA" w14:textId="0F1EF69F" w:rsidR="7A4171CF" w:rsidRPr="00CD0C90" w:rsidRDefault="7A4171CF" w:rsidP="00CD0C90">
      <w:pPr>
        <w:spacing w:after="16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Por otro lado, Cox y Morgenstern (1998, en Puyana, 2008) encontraron que la influencia del Congreso en la toma de decisiones es de gran importancia no solo para el poder presidencial, sino para la administración de turno en general, dado que los presidentes tienden a gobernar mediante el legislativo para desarrollar sus políticas, y no en su contra.</w:t>
      </w:r>
    </w:p>
    <w:p w14:paraId="3C6021D2" w14:textId="562E7B7F" w:rsidR="7A4171CF" w:rsidRPr="00CD0C90" w:rsidRDefault="7A4171CF" w:rsidP="00CD0C90">
      <w:pPr>
        <w:spacing w:after="16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Además de esto, para los investigadores (Cox y Morgenstern, 1998, en Puyana, 2008) la incidencia del Congreso en el proceso de legislar está dada por su capacidad reactiva de condicionar las propuestas presentadas por el ejecutivo mediante una especie de "juego bilateral de vetos", que se da de la siguiente manera: primero, el presidente hace sus propuestas de ley; segundo, el legislativo puede aceptar, enmendar o rechazar dichas propuestas; tercero, si el legislativo las enmienda o las rechaza, el presidente puede hacer concesiones de política o gobernar por decreto.</w:t>
      </w:r>
    </w:p>
    <w:p w14:paraId="7179E7B4" w14:textId="48B1F0FA" w:rsidR="7A4171CF" w:rsidRPr="00CD0C90" w:rsidRDefault="7A4171CF" w:rsidP="00CD0C90">
      <w:pPr>
        <w:spacing w:after="16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Frente a este panorama, el presidente puede encontrarse con cuatro tipos de legislatura (Cox y Morgenstern, 1998, en Puyana, 2008): recalcitrante, negociadora, parroquial-venal o subordinada. En la primera, el legislativo es rechazará todas las propuestas del presidente, mientras que, en la cuarta, el Congreso le aceptará todas las propuestas. En medio de los extremos se hacen posibles una legislatura negociadora, que exige tener voz y voto a la hora de establecer un diálogo constructivo, o una parroquial, que podría llegar a exigir beneficios a cambio de concesiones de política.</w:t>
      </w:r>
    </w:p>
    <w:p w14:paraId="46F67574" w14:textId="01D413A1" w:rsidR="7A4171CF" w:rsidRPr="00CD0C90" w:rsidRDefault="7A4171CF" w:rsidP="00CD0C90">
      <w:pPr>
        <w:spacing w:after="16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 xml:space="preserve">En un sistema democrático como el colombiano, los mecanismos de gobernanza de las relaciones contractuales pueden llegar a determinar la mediación entre la agenda del legislativo y la agenda del ejecutivo, y, por ende, la formulación de normas, planes o políticas estatales. Por ello, comprender las transacciones políticas implica aceptar que la información en medio de la transacción implica unos costos, que los acuerdos no siempre se cumplirán y que los actores usan modelos subjetivos para explicar el entorno (North, 1990b, en, Arias y Caballero, 2003). </w:t>
      </w:r>
    </w:p>
    <w:p w14:paraId="18978840" w14:textId="08A78AB7" w:rsidR="7A4171CF" w:rsidRPr="00CD0C90" w:rsidRDefault="7A4171CF" w:rsidP="00CD0C90">
      <w:pPr>
        <w:spacing w:after="16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La negociación entre el ejecutivo y el legislativo en el arreglo institucional, puede entenderse</w:t>
      </w:r>
      <w:r w:rsidR="541DC8B5" w:rsidRPr="00CD0C90">
        <w:rPr>
          <w:rFonts w:asciiTheme="majorHAnsi" w:hAnsiTheme="majorHAnsi" w:cstheme="majorHAnsi"/>
          <w:color w:val="000000" w:themeColor="text1"/>
          <w:lang w:val="es-ES"/>
        </w:rPr>
        <w:t xml:space="preserve"> mediante la </w:t>
      </w:r>
      <w:r w:rsidR="541DC8B5" w:rsidRPr="00CD0C90">
        <w:rPr>
          <w:rFonts w:asciiTheme="majorHAnsi" w:hAnsiTheme="majorHAnsi" w:cstheme="majorHAnsi"/>
          <w:b/>
          <w:bCs/>
          <w:color w:val="000000" w:themeColor="text1"/>
          <w:lang w:val="es-ES"/>
        </w:rPr>
        <w:t>teoría de los costos transaccionales</w:t>
      </w:r>
      <w:r w:rsidR="541DC8B5" w:rsidRPr="00CD0C90">
        <w:rPr>
          <w:rFonts w:asciiTheme="majorHAnsi" w:hAnsiTheme="majorHAnsi" w:cstheme="majorHAnsi"/>
          <w:color w:val="000000" w:themeColor="text1"/>
          <w:lang w:val="es-ES"/>
        </w:rPr>
        <w:t>, que proviene del neoinstitucionalismo económico (NEI)</w:t>
      </w:r>
      <w:r w:rsidRPr="00CD0C90">
        <w:rPr>
          <w:rFonts w:asciiTheme="majorHAnsi" w:hAnsiTheme="majorHAnsi" w:cstheme="majorHAnsi"/>
          <w:color w:val="000000" w:themeColor="text1"/>
          <w:lang w:val="es-ES"/>
        </w:rPr>
        <w:t>, que estudia</w:t>
      </w:r>
      <w:r w:rsidR="22DD23B2" w:rsidRPr="00CD0C90">
        <w:rPr>
          <w:rFonts w:asciiTheme="majorHAnsi" w:hAnsiTheme="majorHAnsi" w:cstheme="majorHAnsi"/>
          <w:color w:val="000000" w:themeColor="text1"/>
          <w:lang w:val="es-ES"/>
        </w:rPr>
        <w:t xml:space="preserve"> </w:t>
      </w:r>
      <w:r w:rsidRPr="00CD0C90">
        <w:rPr>
          <w:rFonts w:asciiTheme="majorHAnsi" w:hAnsiTheme="majorHAnsi" w:cstheme="majorHAnsi"/>
          <w:color w:val="000000" w:themeColor="text1"/>
          <w:lang w:val="es-ES"/>
        </w:rPr>
        <w:t>la transferencia de derechos entre instituciones, entendidas como reglas de juego entre actores.</w:t>
      </w:r>
      <w:r w:rsidR="70723E40" w:rsidRPr="00CD0C90">
        <w:rPr>
          <w:rFonts w:asciiTheme="majorHAnsi" w:hAnsiTheme="majorHAnsi" w:cstheme="majorHAnsi"/>
          <w:color w:val="000000" w:themeColor="text1"/>
          <w:lang w:val="es-ES"/>
        </w:rPr>
        <w:t xml:space="preserve"> </w:t>
      </w:r>
      <w:r w:rsidRPr="00CD0C90">
        <w:rPr>
          <w:rFonts w:asciiTheme="majorHAnsi" w:hAnsiTheme="majorHAnsi" w:cstheme="majorHAnsi"/>
          <w:color w:val="000000" w:themeColor="text1"/>
          <w:lang w:val="es-ES"/>
        </w:rPr>
        <w:t>De acuerdo con estos postulados, existen “acuerdos ex-ante de cooperación entre políticos”, en</w:t>
      </w:r>
      <w:r w:rsidR="70723E40" w:rsidRPr="00CD0C90">
        <w:rPr>
          <w:rFonts w:asciiTheme="majorHAnsi" w:hAnsiTheme="majorHAnsi" w:cstheme="majorHAnsi"/>
          <w:color w:val="000000" w:themeColor="text1"/>
          <w:lang w:val="es-ES"/>
        </w:rPr>
        <w:t xml:space="preserve"> </w:t>
      </w:r>
      <w:r w:rsidRPr="00CD0C90">
        <w:rPr>
          <w:rFonts w:asciiTheme="majorHAnsi" w:hAnsiTheme="majorHAnsi" w:cstheme="majorHAnsi"/>
          <w:color w:val="000000" w:themeColor="text1"/>
          <w:lang w:val="es-ES"/>
        </w:rPr>
        <w:t>los cuales existen reglas de juego para efectuar transacciones políticas en el tiempo y en el</w:t>
      </w:r>
      <w:r w:rsidR="70F62FA3" w:rsidRPr="00CD0C90">
        <w:rPr>
          <w:rFonts w:asciiTheme="majorHAnsi" w:hAnsiTheme="majorHAnsi" w:cstheme="majorHAnsi"/>
          <w:color w:val="000000" w:themeColor="text1"/>
          <w:lang w:val="es-ES"/>
        </w:rPr>
        <w:t xml:space="preserve"> </w:t>
      </w:r>
      <w:r w:rsidRPr="00CD0C90">
        <w:rPr>
          <w:rFonts w:asciiTheme="majorHAnsi" w:hAnsiTheme="majorHAnsi" w:cstheme="majorHAnsi"/>
          <w:color w:val="000000" w:themeColor="text1"/>
          <w:lang w:val="es-ES"/>
        </w:rPr>
        <w:t>espacio, dentro de este intercambio de derechos (North,1990b, en Arias y Caballero, 2003).</w:t>
      </w:r>
    </w:p>
    <w:p w14:paraId="6B1B6361" w14:textId="7FB254D5" w:rsidR="7A4171CF" w:rsidRPr="00CD0C90" w:rsidRDefault="7A4171CF" w:rsidP="00CD0C90">
      <w:pPr>
        <w:spacing w:after="16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 xml:space="preserve">Investigadores como Juárez (2023) abordan la relación ejecutivo-legislativo en un contexto de gobierno dividido, es decir, cuando éstas no están de acuerdo, mostrando que, si bien el control partidista del poder ejecutivo y legislativo no es necesariamente garantía de un buen gobierno, la división del control del partido impide un gobierno exitoso. De igual forma, en un escenario en el que el partido que tiene las mayorías en el congreso presente un conflicto permanente con el partido que ocupa el ejecutivo, siempre </w:t>
      </w:r>
      <w:r w:rsidRPr="00CD0C90">
        <w:rPr>
          <w:rFonts w:asciiTheme="majorHAnsi" w:hAnsiTheme="majorHAnsi" w:cstheme="majorHAnsi"/>
          <w:color w:val="000000" w:themeColor="text1"/>
          <w:lang w:val="es-ES"/>
        </w:rPr>
        <w:lastRenderedPageBreak/>
        <w:t>se presentarán bloqueos o inconvenientes en la aprobación de la agenda, y será difícil desarrollar políticas en beneficio de la población.</w:t>
      </w:r>
    </w:p>
    <w:p w14:paraId="64217AC4" w14:textId="0F7F4F6A" w:rsidR="7A4171CF" w:rsidRPr="00CD0C90" w:rsidRDefault="7A4171CF" w:rsidP="00CD0C90">
      <w:pPr>
        <w:spacing w:before="240" w:after="24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 xml:space="preserve">De esta forma, para hablar del desarrollo del juego político, esta investigación abordará la noción de </w:t>
      </w:r>
      <w:r w:rsidRPr="00CD0C90">
        <w:rPr>
          <w:rFonts w:asciiTheme="majorHAnsi" w:hAnsiTheme="majorHAnsi" w:cstheme="majorHAnsi"/>
          <w:b/>
          <w:bCs/>
          <w:color w:val="000000" w:themeColor="text1"/>
          <w:lang w:val="es-ES"/>
        </w:rPr>
        <w:t xml:space="preserve">análisis político de los costos de transacción (APCT) </w:t>
      </w:r>
      <w:r w:rsidRPr="00CD0C90">
        <w:rPr>
          <w:rFonts w:asciiTheme="majorHAnsi" w:hAnsiTheme="majorHAnsi" w:cstheme="majorHAnsi"/>
          <w:color w:val="000000" w:themeColor="text1"/>
          <w:lang w:val="es-ES"/>
        </w:rPr>
        <w:t>como un enfoque analítico para interpretar los fenómenos políticos. El APCT se basa en cinco principios (Arias y Caballero, 2003): en primer lugar, la visión transaccional concibe la interacción política como un entramado de relaciones de carácter contractual. En segundo lugar, las instituciones se entienden como reglas que estructuran el juego político y que, al configurar los incentivos de los actores, influyen de manera decisiva en los resultados de las políticas públicas. En tercer lugar, la relación causal entre instituciones y resultados se explica a través de las formas de ejercicio de la autoridad (</w:t>
      </w:r>
      <w:r w:rsidRPr="00CD0C90">
        <w:rPr>
          <w:rFonts w:asciiTheme="majorHAnsi" w:hAnsiTheme="majorHAnsi" w:cstheme="majorHAnsi"/>
          <w:i/>
          <w:iCs/>
          <w:color w:val="000000" w:themeColor="text1"/>
          <w:lang w:val="es-ES"/>
        </w:rPr>
        <w:t>governance</w:t>
      </w:r>
      <w:r w:rsidRPr="00CD0C90">
        <w:rPr>
          <w:rFonts w:asciiTheme="majorHAnsi" w:hAnsiTheme="majorHAnsi" w:cstheme="majorHAnsi"/>
          <w:color w:val="000000" w:themeColor="text1"/>
          <w:lang w:val="es-ES"/>
        </w:rPr>
        <w:t>), es decir, los mecanismos y normas que regulan la organización de los participantes en dicho juego.</w:t>
      </w:r>
    </w:p>
    <w:p w14:paraId="69256E64" w14:textId="1CD0FD9D" w:rsidR="7A4171CF" w:rsidRPr="00CD0C90" w:rsidRDefault="7A4171CF" w:rsidP="00CD0C90">
      <w:pPr>
        <w:spacing w:before="240" w:after="24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Asimismo, se plantea que los costos de transacción suelen ser más elevados en el ámbito político que en el económico, lo que hace más complejo el diseño de estructuras institucionales eficientes. Otro principio relevante es la incorporación de una perspectiva intertemporal, que concibe las políticas públicas como el producto de una secuencia de transacciones políticas a lo largo del tiempo, donde resulta fundamental el alineamiento temporal de los incentivos de los actores. Finalmente, el compromiso adquiere un papel central en la búsqueda de eficiencia institucional, lo que otorga relevancia al capital reputacional y a las formas organizativas del Estado.</w:t>
      </w:r>
    </w:p>
    <w:p w14:paraId="3ABDB377" w14:textId="7B6C9034" w:rsidR="7A4171CF" w:rsidRPr="00CD0C90" w:rsidRDefault="7A4171CF" w:rsidP="00CD0C90">
      <w:pPr>
        <w:spacing w:before="240" w:after="24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 xml:space="preserve">El sistema de partidos constituye una variable clave para comprender la manera en que ciertos actores, logran ejercer poder de veto en el ámbito legislativo. Su grado de concentración depende en gran medida del diseño electoral: cuando éste es representativo y se organiza en distritos amplios, el sistema tiende a ser “débil”, en la medida en que existen pocos incentivos para la formación de coaliciones; en cambio, si los sistemas mayoritarios con distritos pequeños, estos se consideran “fuertes” porque promueven mayores incentivos para la cooperación electoral. En consecuencia, cada configuración institucional determina el número de partidos en competencia y, a medida que este aumenta, también se incrementan los costos de transacción y las posibilidades de bloqueo en la toma de decisiones para el ejecutivo (Cox y McCubbins, 1999, en Arias y Caballero, 2003). </w:t>
      </w:r>
    </w:p>
    <w:p w14:paraId="508CE442" w14:textId="090BB958" w:rsidR="7A4171CF" w:rsidRDefault="7A4171CF" w:rsidP="00CD0C90">
      <w:pPr>
        <w:spacing w:before="240" w:after="240"/>
        <w:jc w:val="both"/>
        <w:rPr>
          <w:rFonts w:asciiTheme="majorHAnsi" w:hAnsiTheme="majorHAnsi" w:cstheme="majorHAnsi"/>
          <w:color w:val="000000" w:themeColor="text1"/>
          <w:lang w:val="es-ES"/>
        </w:rPr>
      </w:pPr>
      <w:r w:rsidRPr="00CD0C90">
        <w:rPr>
          <w:rFonts w:asciiTheme="majorHAnsi" w:hAnsiTheme="majorHAnsi" w:cstheme="majorHAnsi"/>
          <w:color w:val="000000" w:themeColor="text1"/>
          <w:lang w:val="es-ES"/>
        </w:rPr>
        <w:t>Para el caso colombiano, el Congreso está compuesto por múltiples partidos con representación significativa, lo que implica que ninguno de ellos controla por sí solo las mayorías. Esto otorga a partidos medianos o pequeños la capacidad de frenar iniciativas si no se negocia con ellos y, lo que incrementa los costos de transacción política y puede llegar a traducirse en problemas para la aprobación de leyes y bloqueos al ejecutivo, como ha sucedido con las iniciativas en el marco de la transición energética.</w:t>
      </w:r>
    </w:p>
    <w:p w14:paraId="62F6E4BA" w14:textId="77777777" w:rsidR="0053122B" w:rsidRPr="0053122B" w:rsidRDefault="0053122B" w:rsidP="0053122B">
      <w:pPr>
        <w:pStyle w:val="Ttulo3"/>
      </w:pPr>
      <w:bookmarkStart w:id="5" w:name="_Toc234920343"/>
      <w:r w:rsidRPr="0053122B">
        <w:lastRenderedPageBreak/>
        <w:t>Teoría de veto players</w:t>
      </w:r>
      <w:bookmarkEnd w:id="5"/>
    </w:p>
    <w:p w14:paraId="34B190A2" w14:textId="77777777" w:rsidR="0053122B" w:rsidRPr="0053122B" w:rsidRDefault="0053122B" w:rsidP="0053122B">
      <w:pPr>
        <w:spacing w:before="240" w:after="240"/>
        <w:jc w:val="both"/>
        <w:rPr>
          <w:rFonts w:asciiTheme="majorHAnsi" w:hAnsiTheme="majorHAnsi" w:cstheme="majorHAnsi"/>
          <w:color w:val="000000" w:themeColor="text1"/>
        </w:rPr>
      </w:pPr>
      <w:r w:rsidRPr="0053122B">
        <w:rPr>
          <w:rFonts w:asciiTheme="majorHAnsi" w:hAnsiTheme="majorHAnsi" w:cstheme="majorHAnsi"/>
          <w:color w:val="000000" w:themeColor="text1"/>
        </w:rPr>
        <w:t>La dinámica de bloqueo y negociación descrita por el juego bilateral de vetos de Cox y Morgenstern (1998, en Puyana, 2008) y por el APCT encuentra un desarrollo teórico más formal en la teoría de los veto players de Tsebelis (1995, 2002). De acuerdo con este autor, un veto player es todo actor individual o colectivo cuyo acuerdo —por mayoría, en el caso de los actores colectivos— resulta necesario para modificar el statu quo de una política pública. Tsebelis (1995) distingue entre veto players institucionales, definidos por el diseño constitucional (presidente, cámaras legislativas, tribunales con competencia de revisión), y veto players partidistas, que emergen de la composición de las coaliciones de gobierno o de la fragmentación del sistema de partidos.</w:t>
      </w:r>
    </w:p>
    <w:p w14:paraId="1B066142" w14:textId="77777777" w:rsidR="0053122B" w:rsidRPr="0053122B" w:rsidRDefault="0053122B" w:rsidP="0053122B">
      <w:pPr>
        <w:spacing w:before="240" w:after="240"/>
        <w:jc w:val="both"/>
        <w:rPr>
          <w:rFonts w:asciiTheme="majorHAnsi" w:hAnsiTheme="majorHAnsi" w:cstheme="majorHAnsi"/>
          <w:color w:val="000000" w:themeColor="text1"/>
        </w:rPr>
      </w:pPr>
      <w:r w:rsidRPr="0053122B">
        <w:rPr>
          <w:rFonts w:asciiTheme="majorHAnsi" w:hAnsiTheme="majorHAnsi" w:cstheme="majorHAnsi"/>
          <w:color w:val="000000" w:themeColor="text1"/>
        </w:rPr>
        <w:t>El potencial de cambio de una política pública, según esta teoría, disminuye a medida que aumenta el número de veto players, la incongruencia entre sus posiciones ideológicas o programáticas y la cohesión interna de cada uno de ellos (Tsebelis, 2002). En sistemas presidenciales multipartidistas como el colombiano, donde ningún partido controla por sí solo las mayorías legislativas (Cox y McCubbins, 1999, en Arias y Caballero, 2003), el número efectivo de veto players tiende a ser elevado, lo que exige del ejecutivo un esfuerzo de coordinación y negociación permanente para evitar que cualquiera de estos actores bloquee el statu quo normativo vigente en materia energética.</w:t>
      </w:r>
    </w:p>
    <w:p w14:paraId="21D22050" w14:textId="63189A28" w:rsidR="0053122B" w:rsidRPr="00CD0C90" w:rsidRDefault="0053122B" w:rsidP="0053122B">
      <w:pPr>
        <w:spacing w:before="240" w:after="240"/>
        <w:jc w:val="both"/>
        <w:rPr>
          <w:rFonts w:asciiTheme="majorHAnsi" w:hAnsiTheme="majorHAnsi" w:cstheme="majorHAnsi"/>
          <w:color w:val="000000" w:themeColor="text1"/>
        </w:rPr>
      </w:pPr>
      <w:r w:rsidRPr="0053122B">
        <w:rPr>
          <w:rFonts w:asciiTheme="majorHAnsi" w:hAnsiTheme="majorHAnsi" w:cstheme="majorHAnsi"/>
          <w:color w:val="000000" w:themeColor="text1"/>
        </w:rPr>
        <w:t>La aplicación de este marco al caso colombiano ha sido documentada empíricamente por Carroll y Pachón (2016), quienes muestran que el potencial de las coaliciones presidenciales en Colombia se encuentra sistemáticamente subutilizado, en la medida en que la disciplina de bancada resulta débil y los partidos de la coalición de gobierno actúan, en la práctica, como veto players independientes capaces de alterar o bloquear las iniciativas legislativas del ejecutivo incluso cuando formalmente respaldan al gobierno. Est</w:t>
      </w:r>
      <w:r>
        <w:rPr>
          <w:rFonts w:asciiTheme="majorHAnsi" w:hAnsiTheme="majorHAnsi" w:cstheme="majorHAnsi"/>
          <w:color w:val="000000" w:themeColor="text1"/>
        </w:rPr>
        <w:t>o es</w:t>
      </w:r>
      <w:r w:rsidRPr="0053122B">
        <w:rPr>
          <w:rFonts w:asciiTheme="majorHAnsi" w:hAnsiTheme="majorHAnsi" w:cstheme="majorHAnsi"/>
          <w:color w:val="000000" w:themeColor="text1"/>
        </w:rPr>
        <w:t xml:space="preserve"> central para comprender por qué la sola existencia de una coalición legislativa nominal no garantiza, por sí misma, la aprobación de las iniciativas del Ministerio de Minas y Energía en materia de transición energética justa, y por qué el análisis estratégico legislativo debe identificar y gestionar a estos actores de manera individualizada.</w:t>
      </w:r>
    </w:p>
    <w:p w14:paraId="73B4EF81" w14:textId="33F7B4A7" w:rsidR="110633E4" w:rsidRPr="00CD0C90" w:rsidRDefault="7A4171CF" w:rsidP="00CD0C90">
      <w:pPr>
        <w:pStyle w:val="Ttulo3"/>
        <w:spacing w:line="276" w:lineRule="auto"/>
        <w:rPr>
          <w:rFonts w:asciiTheme="majorHAnsi" w:hAnsiTheme="majorHAnsi" w:cstheme="majorHAnsi"/>
          <w:color w:val="D09E00"/>
          <w:sz w:val="22"/>
          <w:szCs w:val="22"/>
        </w:rPr>
      </w:pPr>
      <w:bookmarkStart w:id="6" w:name="_Toc234920344"/>
      <w:r w:rsidRPr="00CD0C90">
        <w:rPr>
          <w:rFonts w:asciiTheme="majorHAnsi" w:hAnsiTheme="majorHAnsi" w:cstheme="majorHAnsi"/>
          <w:sz w:val="22"/>
          <w:szCs w:val="22"/>
          <w:lang w:val="es-ES"/>
        </w:rPr>
        <w:t>Análisis de política pública</w:t>
      </w:r>
      <w:bookmarkEnd w:id="6"/>
    </w:p>
    <w:p w14:paraId="4B54127E" w14:textId="10077AEF" w:rsidR="7A4171CF" w:rsidRPr="00CD0C90" w:rsidRDefault="7A4171CF" w:rsidP="00CD0C90">
      <w:pPr>
        <w:spacing w:after="160"/>
        <w:jc w:val="both"/>
        <w:rPr>
          <w:rFonts w:asciiTheme="majorHAnsi" w:hAnsiTheme="majorHAnsi" w:cstheme="majorHAnsi"/>
          <w:color w:val="000000" w:themeColor="text1"/>
        </w:rPr>
      </w:pPr>
      <w:r w:rsidRPr="00CD0C90">
        <w:rPr>
          <w:rFonts w:asciiTheme="majorHAnsi" w:hAnsiTheme="majorHAnsi" w:cstheme="majorHAnsi"/>
          <w:color w:val="000000" w:themeColor="text1"/>
          <w:lang w:val="es-ES"/>
        </w:rPr>
        <w:t xml:space="preserve">Las teorías del proceso de políticas públicas, que analizan cómo un problema o necesidad se transforma en tema de agenda pública y, finalmente, en política pública, permiten comprender la dinámica entre el Ministerio de Minas y Energía y el Congreso de la República. En particular, estas teorías explican de qué manera el análisis estratégico legislativo —como herramienta del </w:t>
      </w:r>
      <w:r w:rsidR="001D4B0A" w:rsidRPr="00CD0C90">
        <w:rPr>
          <w:rFonts w:asciiTheme="majorHAnsi" w:hAnsiTheme="majorHAnsi" w:cstheme="majorHAnsi"/>
          <w:color w:val="000000" w:themeColor="text1"/>
          <w:lang w:val="es-ES"/>
        </w:rPr>
        <w:t>ejecutivo</w:t>
      </w:r>
      <w:r w:rsidRPr="00CD0C90">
        <w:rPr>
          <w:rFonts w:asciiTheme="majorHAnsi" w:hAnsiTheme="majorHAnsi" w:cstheme="majorHAnsi"/>
          <w:color w:val="000000" w:themeColor="text1"/>
          <w:lang w:val="es-ES"/>
        </w:rPr>
        <w:t xml:space="preserve"> para anticiparse, incidir o reaccionar ante momentos coyunturales— condiciona el diálogo institucional y afecta la velocidad de adopción de políticas como la TEJ.</w:t>
      </w:r>
    </w:p>
    <w:p w14:paraId="4480A99B" w14:textId="4DBE2600" w:rsidR="7A4171CF" w:rsidRPr="00CD0C90" w:rsidRDefault="7A4171CF" w:rsidP="00CD0C90">
      <w:pPr>
        <w:spacing w:after="0"/>
        <w:jc w:val="both"/>
        <w:rPr>
          <w:rFonts w:asciiTheme="majorHAnsi" w:hAnsiTheme="majorHAnsi" w:cstheme="majorHAnsi"/>
          <w:color w:val="000000" w:themeColor="text1"/>
          <w:lang w:val="es-ES"/>
        </w:rPr>
      </w:pPr>
      <w:r w:rsidRPr="00CD0C90">
        <w:rPr>
          <w:rFonts w:asciiTheme="majorHAnsi" w:hAnsiTheme="majorHAnsi" w:cstheme="majorHAnsi"/>
          <w:color w:val="000000" w:themeColor="text1"/>
          <w:lang w:val="es-ES"/>
        </w:rPr>
        <w:t xml:space="preserve">Para analizar cómo el ASL ha incidido en la relación ejecutivo-legislativo en el desarrollo de la TEJ, este marco teórico integra el modelo de corrientes múltiples (Multiple Streams Framework) con la teoría </w:t>
      </w:r>
      <w:r w:rsidRPr="00CD0C90">
        <w:rPr>
          <w:rFonts w:asciiTheme="majorHAnsi" w:hAnsiTheme="majorHAnsi" w:cstheme="majorHAnsi"/>
          <w:color w:val="000000" w:themeColor="text1"/>
          <w:lang w:val="es-ES"/>
        </w:rPr>
        <w:lastRenderedPageBreak/>
        <w:t>principal-agente. El primero explica las ventanas de oportunidad donde convergen problemas (crisis energética), políticas (soluciones técnicas del ASL) y política (clima congresional), mientras la segunda modela al Congreso como principal que delega al Ministerio como agente especializado, requiriendo incentivos, monitoreo (control político) y negociación institucional para superar asimetrías informativas y relaciones fragmentadas.</w:t>
      </w:r>
    </w:p>
    <w:p w14:paraId="6DA5CE14" w14:textId="7665F09E" w:rsidR="110633E4" w:rsidRPr="00CD0C90" w:rsidRDefault="110633E4" w:rsidP="00CD0C90">
      <w:pPr>
        <w:spacing w:after="0"/>
        <w:jc w:val="both"/>
        <w:rPr>
          <w:rFonts w:asciiTheme="majorHAnsi" w:hAnsiTheme="majorHAnsi" w:cstheme="majorHAnsi"/>
          <w:color w:val="000000" w:themeColor="text1"/>
          <w:lang w:val="es-ES"/>
        </w:rPr>
      </w:pPr>
    </w:p>
    <w:p w14:paraId="4D0BD3BA" w14:textId="1BAA4079" w:rsidR="7A4171CF" w:rsidRPr="00CD0C90" w:rsidRDefault="7A4171CF" w:rsidP="00CD0C90">
      <w:pPr>
        <w:spacing w:after="0"/>
        <w:jc w:val="both"/>
        <w:rPr>
          <w:rFonts w:asciiTheme="majorHAnsi" w:hAnsiTheme="majorHAnsi" w:cstheme="majorHAnsi"/>
          <w:color w:val="000000" w:themeColor="text1"/>
          <w:lang w:val="es-ES"/>
        </w:rPr>
      </w:pPr>
      <w:r w:rsidRPr="00CD0C90">
        <w:rPr>
          <w:rFonts w:asciiTheme="majorHAnsi" w:hAnsiTheme="majorHAnsi" w:cstheme="majorHAnsi"/>
          <w:color w:val="000000" w:themeColor="text1"/>
          <w:lang w:val="es-ES"/>
        </w:rPr>
        <w:t xml:space="preserve">En primer lugar, el </w:t>
      </w:r>
      <w:r w:rsidRPr="00CD0C90">
        <w:rPr>
          <w:rFonts w:asciiTheme="majorHAnsi" w:hAnsiTheme="majorHAnsi" w:cstheme="majorHAnsi"/>
          <w:b/>
          <w:bCs/>
          <w:color w:val="000000" w:themeColor="text1"/>
          <w:lang w:val="es-ES"/>
        </w:rPr>
        <w:t>modelo de corrientes múltiples</w:t>
      </w:r>
      <w:r w:rsidRPr="00CD0C90">
        <w:rPr>
          <w:rFonts w:asciiTheme="majorHAnsi" w:hAnsiTheme="majorHAnsi" w:cstheme="majorHAnsi"/>
          <w:color w:val="000000" w:themeColor="text1"/>
          <w:lang w:val="es-ES"/>
        </w:rPr>
        <w:t xml:space="preserve"> de Kingdon (2011) describe la construcción de la agenda de políticas mediante tres variables: corriente de los problemas o problem stream, que se construyen a través de un evento continuo, situaciones coyunturales o sobre fenómenos que captan la atención de los actores que intervienen en la agenda pública; corriente de políticas o policy stream, que es el conjunto de propuestas y soluciones a estas problemáticas; y la corriente o el ambiente político (politics stream), que son los factores que condicionan el relacionamiento entre los principales agentes o policy entrepreneurs que intervienen en la política.</w:t>
      </w:r>
    </w:p>
    <w:p w14:paraId="44264D3A" w14:textId="2285A38C" w:rsidR="110633E4" w:rsidRPr="00CD0C90" w:rsidRDefault="110633E4" w:rsidP="00CD0C90">
      <w:pPr>
        <w:spacing w:after="0"/>
        <w:jc w:val="both"/>
        <w:rPr>
          <w:rFonts w:asciiTheme="majorHAnsi" w:hAnsiTheme="majorHAnsi" w:cstheme="majorHAnsi"/>
          <w:color w:val="000000" w:themeColor="text1"/>
          <w:lang w:val="es-ES"/>
        </w:rPr>
      </w:pPr>
    </w:p>
    <w:p w14:paraId="76DD0BA4" w14:textId="56B3B01D" w:rsidR="7A4171CF" w:rsidRPr="00CD0C90" w:rsidRDefault="7A4171CF" w:rsidP="00CD0C90">
      <w:pPr>
        <w:spacing w:after="0"/>
        <w:jc w:val="both"/>
        <w:rPr>
          <w:rFonts w:asciiTheme="majorHAnsi" w:hAnsiTheme="majorHAnsi" w:cstheme="majorHAnsi"/>
          <w:color w:val="000000" w:themeColor="text1"/>
          <w:lang w:val="es-ES"/>
        </w:rPr>
      </w:pPr>
      <w:r w:rsidRPr="00CD0C90">
        <w:rPr>
          <w:rFonts w:asciiTheme="majorHAnsi" w:hAnsiTheme="majorHAnsi" w:cstheme="majorHAnsi"/>
          <w:color w:val="000000" w:themeColor="text1"/>
          <w:lang w:val="es-ES"/>
        </w:rPr>
        <w:t>Este enfoque permite explicar como el análisis estratégico del Ministerio debe tener en cuenta tanto los escenarios coyunturales de la problemática energética en el país (problem stream) como el clima de relacionamiento con el Congreso (politics stream), así como el ambiente político nacional, los cambios de administración y la presión por parte de los grupos de interés, para realizar propuestas y generar acciones en torno a la política de transición energética (policy stream). La confluencia de estos tres en el análisis estratégico legislativo permite construir una especie de “ventana de oportunidad” para los actores que buscan impulsar la política pública, en este caso, el Ministerio mediante la creación de estrategias de diálogo y negociación entre los participantes.</w:t>
      </w:r>
    </w:p>
    <w:p w14:paraId="43F9E173" w14:textId="7233423A" w:rsidR="110633E4" w:rsidRPr="00CD0C90" w:rsidRDefault="110633E4" w:rsidP="00CD0C90">
      <w:pPr>
        <w:spacing w:after="0"/>
        <w:jc w:val="both"/>
        <w:rPr>
          <w:rFonts w:asciiTheme="majorHAnsi" w:hAnsiTheme="majorHAnsi" w:cstheme="majorHAnsi"/>
          <w:color w:val="000000" w:themeColor="text1"/>
          <w:lang w:val="es-ES"/>
        </w:rPr>
      </w:pPr>
    </w:p>
    <w:p w14:paraId="0C227185" w14:textId="6EA3935A" w:rsidR="7A4171CF" w:rsidRPr="00CD0C90" w:rsidRDefault="7A4171CF" w:rsidP="00CD0C90">
      <w:pPr>
        <w:spacing w:after="0"/>
        <w:jc w:val="both"/>
        <w:rPr>
          <w:rFonts w:asciiTheme="majorHAnsi" w:hAnsiTheme="majorHAnsi" w:cstheme="majorHAnsi"/>
          <w:color w:val="000000" w:themeColor="text1"/>
          <w:lang w:val="es-ES"/>
        </w:rPr>
      </w:pPr>
      <w:r w:rsidRPr="00CD0C90">
        <w:rPr>
          <w:rFonts w:asciiTheme="majorHAnsi" w:hAnsiTheme="majorHAnsi" w:cstheme="majorHAnsi"/>
          <w:color w:val="000000" w:themeColor="text1"/>
          <w:lang w:val="es-ES"/>
        </w:rPr>
        <w:t xml:space="preserve">En segundo lugar, la </w:t>
      </w:r>
      <w:r w:rsidRPr="00CD0C90">
        <w:rPr>
          <w:rFonts w:asciiTheme="majorHAnsi" w:hAnsiTheme="majorHAnsi" w:cstheme="majorHAnsi"/>
          <w:b/>
          <w:bCs/>
          <w:color w:val="000000" w:themeColor="text1"/>
          <w:lang w:val="es-ES"/>
        </w:rPr>
        <w:t>teoría principal-agente</w:t>
      </w:r>
      <w:r w:rsidRPr="00CD0C90">
        <w:rPr>
          <w:rFonts w:asciiTheme="majorHAnsi" w:hAnsiTheme="majorHAnsi" w:cstheme="majorHAnsi"/>
          <w:color w:val="000000" w:themeColor="text1"/>
          <w:lang w:val="es-ES"/>
        </w:rPr>
        <w:t xml:space="preserve"> aborda las relaciones de delegación funcional de autoridad como una especie de “contrato”, en los cuales un agente principal delega en otro la realización de tareas específicas, en las cuales, si bien se otorga un poder decisorio, existen una serie de conflictos de interés inherentes derivados de la asimetría informativa y la divergencia de objetivos entre los actores (Jensen &amp; Mecklingm, 1976).</w:t>
      </w:r>
    </w:p>
    <w:p w14:paraId="7274F706" w14:textId="0528B67D" w:rsidR="110633E4" w:rsidRPr="00CD0C90" w:rsidRDefault="110633E4" w:rsidP="00CD0C90">
      <w:pPr>
        <w:spacing w:after="0"/>
        <w:jc w:val="both"/>
        <w:rPr>
          <w:rFonts w:asciiTheme="majorHAnsi" w:hAnsiTheme="majorHAnsi" w:cstheme="majorHAnsi"/>
          <w:color w:val="000000" w:themeColor="text1"/>
          <w:lang w:val="es-ES"/>
        </w:rPr>
      </w:pPr>
    </w:p>
    <w:p w14:paraId="469F7675" w14:textId="515571F2" w:rsidR="7A4171CF" w:rsidRDefault="7A4171CF" w:rsidP="00CD0C90">
      <w:pPr>
        <w:spacing w:after="0"/>
        <w:jc w:val="both"/>
        <w:rPr>
          <w:rFonts w:asciiTheme="majorHAnsi" w:hAnsiTheme="majorHAnsi" w:cstheme="majorHAnsi"/>
          <w:color w:val="000000" w:themeColor="text1"/>
          <w:lang w:val="es-ES"/>
        </w:rPr>
      </w:pPr>
      <w:r w:rsidRPr="00CD0C90">
        <w:rPr>
          <w:rFonts w:asciiTheme="majorHAnsi" w:hAnsiTheme="majorHAnsi" w:cstheme="majorHAnsi"/>
          <w:color w:val="000000" w:themeColor="text1"/>
          <w:lang w:val="es-ES"/>
        </w:rPr>
        <w:t>Desde esta perspectiva, el Congreso actúa como principal, por ser quien ostenta el poder derivado del voto popular, y el ejecutivo es quien está a cargo de la implementación de la política de TEJ, en este caso al Ministerio, como agente especializado por una delegación o división funcional, pero, sin dejar de presentar costos de agenciamiento, que se manifiestan de tres formas: monitoreo (control político vía citaciones y mociones de censura), garantía del agente (memorias de gestión e indicadores de desempeño) y pérdida residual (desalineación persistente que retrasa el agendamiento legislativo).</w:t>
      </w:r>
    </w:p>
    <w:p w14:paraId="56012B6D" w14:textId="77777777" w:rsidR="0053122B" w:rsidRDefault="0053122B" w:rsidP="00CD0C90">
      <w:pPr>
        <w:spacing w:after="0"/>
        <w:jc w:val="both"/>
        <w:rPr>
          <w:rFonts w:asciiTheme="majorHAnsi" w:hAnsiTheme="majorHAnsi" w:cstheme="majorHAnsi"/>
          <w:color w:val="000000" w:themeColor="text1"/>
          <w:lang w:val="es-ES"/>
        </w:rPr>
      </w:pPr>
    </w:p>
    <w:p w14:paraId="2F193AF1" w14:textId="739C9FD6" w:rsidR="0053122B" w:rsidRDefault="0053122B" w:rsidP="00CD0C90">
      <w:pPr>
        <w:spacing w:after="0"/>
        <w:jc w:val="both"/>
        <w:rPr>
          <w:rFonts w:asciiTheme="majorHAnsi" w:hAnsiTheme="majorHAnsi" w:cstheme="majorHAnsi"/>
          <w:color w:val="000000" w:themeColor="text1"/>
          <w:lang w:val="es-ES"/>
        </w:rPr>
      </w:pPr>
      <w:r w:rsidRPr="0053122B">
        <w:rPr>
          <w:rFonts w:asciiTheme="majorHAnsi" w:hAnsiTheme="majorHAnsi" w:cstheme="majorHAnsi"/>
          <w:color w:val="000000" w:themeColor="text1"/>
          <w:lang w:val="es-ES"/>
        </w:rPr>
        <w:t>Esta cadena de delegación se enmarca en lo que Str</w:t>
      </w:r>
      <w:r>
        <w:rPr>
          <w:rFonts w:asciiTheme="majorHAnsi" w:hAnsiTheme="majorHAnsi" w:cstheme="majorHAnsi"/>
          <w:color w:val="000000" w:themeColor="text1"/>
          <w:lang w:val="es-ES"/>
        </w:rPr>
        <w:t>o</w:t>
      </w:r>
      <w:r w:rsidRPr="0053122B">
        <w:rPr>
          <w:rFonts w:asciiTheme="majorHAnsi" w:hAnsiTheme="majorHAnsi" w:cstheme="majorHAnsi"/>
          <w:color w:val="000000" w:themeColor="text1"/>
          <w:lang w:val="es-ES"/>
        </w:rPr>
        <w:t xml:space="preserve">m (2000) denomina cadenas de delegación y rendición de cuentas (chains of delegation and accountability): una secuencia en la que el electorado delega en el Congreso, el Congreso delega en el gobierno y este, a su vez, delega en los ministerios </w:t>
      </w:r>
      <w:r w:rsidRPr="0053122B">
        <w:rPr>
          <w:rFonts w:asciiTheme="majorHAnsi" w:hAnsiTheme="majorHAnsi" w:cstheme="majorHAnsi"/>
          <w:color w:val="000000" w:themeColor="text1"/>
          <w:lang w:val="es-ES"/>
        </w:rPr>
        <w:lastRenderedPageBreak/>
        <w:t>sectoriales la implementación técnica de las políticas, de modo que cada eslabón de la cadena reproduce, en menor escala, los mismos problemas de información asimétrica y de alineación de incentivos identificados por la teoría principal-agente. La capacidad del Ministerio de Minas y Energía para actuar como agente competente en esta cadena depende, en buena medida, de lo que Bertranou (2015) define como capacidad estatal: la aptitud de las organizaciones públicas para definir y alcanzar objetivos colectivos de manera eficaz, sostenida en dotaciones técnicas, administrativas y relacionales estables en el tiempo. Cuando esta capacidad se ve erosionada —por ejemplo, por la alta rotación de la conducción ministerial—, los costos de agencia tienden a incrementarse, pues el principal legislativo pierde certeza sobre la continuidad de los compromisos asumidos por el agente ejecutivo.</w:t>
      </w:r>
    </w:p>
    <w:p w14:paraId="5AACC67B" w14:textId="62640ED6" w:rsidR="0053122B" w:rsidRDefault="0053122B" w:rsidP="00CD0C90">
      <w:pPr>
        <w:spacing w:after="0"/>
        <w:jc w:val="both"/>
        <w:rPr>
          <w:rFonts w:asciiTheme="majorHAnsi" w:hAnsiTheme="majorHAnsi" w:cstheme="majorHAnsi"/>
          <w:color w:val="000000" w:themeColor="text1"/>
          <w:lang w:val="es-ES"/>
        </w:rPr>
      </w:pPr>
    </w:p>
    <w:p w14:paraId="339A1BF5" w14:textId="5B5981BF" w:rsidR="0053122B" w:rsidRPr="00CD0C90" w:rsidRDefault="0053122B" w:rsidP="00CD0C90">
      <w:pPr>
        <w:spacing w:after="0"/>
        <w:jc w:val="both"/>
        <w:rPr>
          <w:rFonts w:asciiTheme="majorHAnsi" w:hAnsiTheme="majorHAnsi" w:cstheme="majorHAnsi"/>
          <w:color w:val="000000" w:themeColor="text1"/>
          <w:lang w:val="es-ES"/>
        </w:rPr>
      </w:pPr>
      <w:r>
        <w:rPr>
          <w:rFonts w:asciiTheme="majorHAnsi" w:hAnsiTheme="majorHAnsi" w:cstheme="majorHAnsi"/>
          <w:color w:val="000000" w:themeColor="text1"/>
          <w:lang w:val="es-ES"/>
        </w:rPr>
        <w:t>De manera complementaria,</w:t>
      </w:r>
      <w:r w:rsidRPr="0053122B">
        <w:rPr>
          <w:rFonts w:asciiTheme="majorHAnsi" w:hAnsiTheme="majorHAnsi" w:cstheme="majorHAnsi"/>
          <w:color w:val="000000" w:themeColor="text1"/>
          <w:lang w:val="es-ES"/>
        </w:rPr>
        <w:t xml:space="preserve"> la noción de redes de política pública (policy networks) desarrollada por Rhodes (1990) permite entender el relacionamiento entre el Ministerio y el Congreso más allá de la relación diádica formal entre dos poderes, incorporando al análisis a los gremios, las comisiones especializadas, los grupos parlamentarios y otros actores que participan de manera informal en la construcción de consensos legislativos. Desde esta perspectiva, el grado de institucionalización de la relación ejecutivo-legislativo no depende únicamente del diseño normativo formal, sino también de la densidad y estabilidad de estas redes relacionales, un aspecto central para distinguir entre un relacionamiento sostenido en vínculos personalistas coyunturales y uno institucionalizado en el tiempo.</w:t>
      </w:r>
    </w:p>
    <w:p w14:paraId="0D686A7B" w14:textId="4E3B6B0A" w:rsidR="110633E4" w:rsidRPr="00CD0C90" w:rsidRDefault="110633E4" w:rsidP="00CD0C90">
      <w:pPr>
        <w:spacing w:after="0"/>
        <w:jc w:val="both"/>
        <w:rPr>
          <w:rFonts w:asciiTheme="majorHAnsi" w:hAnsiTheme="majorHAnsi" w:cstheme="majorHAnsi"/>
          <w:color w:val="000000" w:themeColor="text1"/>
          <w:lang w:val="es-ES"/>
        </w:rPr>
      </w:pPr>
    </w:p>
    <w:p w14:paraId="37615F2F" w14:textId="6F878FB6" w:rsidR="009B1480" w:rsidRPr="00CD0C90" w:rsidRDefault="7A4171CF" w:rsidP="00CD0C90">
      <w:pPr>
        <w:spacing w:after="0"/>
        <w:jc w:val="both"/>
        <w:rPr>
          <w:rFonts w:asciiTheme="majorHAnsi" w:hAnsiTheme="majorHAnsi" w:cstheme="majorHAnsi"/>
          <w:color w:val="000000" w:themeColor="text1"/>
          <w:lang w:val="es-ES"/>
        </w:rPr>
      </w:pPr>
      <w:r w:rsidRPr="00CD0C90">
        <w:rPr>
          <w:rFonts w:asciiTheme="majorHAnsi" w:hAnsiTheme="majorHAnsi" w:cstheme="majorHAnsi"/>
          <w:color w:val="000000" w:themeColor="text1"/>
          <w:lang w:val="es-ES"/>
        </w:rPr>
        <w:t>Para el caso que nos compete, la debilidad estructural del análisis estratégico legislativo a la hora de considerar los costos de agenciamiento por parte del Congreso, han debilitado la relación entre el Ministerio y el Congreso, obstaculizando la consolidación institucional requerida para acelerar la TEJ. En esta las acciones de MinEnergía deben buscan reducir costos de agencia mediante el diálogo, la negociación de incentivos, transparencia informativa y monitoreo proactivo, alineándose con las prioridades del principal legislativo en el contexto de fragmentación partidista.</w:t>
      </w:r>
    </w:p>
    <w:p w14:paraId="33222CCE" w14:textId="3DD7D73C" w:rsidR="110633E4" w:rsidRPr="00CD0C90" w:rsidRDefault="739DF293" w:rsidP="00CD0C90">
      <w:pPr>
        <w:pStyle w:val="Ttulo1"/>
        <w:spacing w:line="276" w:lineRule="auto"/>
        <w:rPr>
          <w:rFonts w:asciiTheme="majorHAnsi" w:hAnsiTheme="majorHAnsi" w:cstheme="majorHAnsi"/>
          <w:sz w:val="22"/>
          <w:szCs w:val="22"/>
        </w:rPr>
      </w:pPr>
      <w:bookmarkStart w:id="7" w:name="_Toc234920345"/>
      <w:bookmarkEnd w:id="1"/>
      <w:r w:rsidRPr="00CD0C90">
        <w:rPr>
          <w:rFonts w:asciiTheme="majorHAnsi" w:hAnsiTheme="majorHAnsi" w:cstheme="majorHAnsi"/>
          <w:sz w:val="22"/>
          <w:szCs w:val="22"/>
        </w:rPr>
        <w:t>Marco conceptual</w:t>
      </w:r>
      <w:bookmarkEnd w:id="7"/>
    </w:p>
    <w:p w14:paraId="226D9EEF" w14:textId="19D5CC4B" w:rsidR="4CCE0E54" w:rsidRPr="00CD0C90" w:rsidRDefault="4CCE0E54" w:rsidP="00CD0C90">
      <w:pPr>
        <w:pStyle w:val="Prrafodelista"/>
        <w:ind w:left="0"/>
        <w:jc w:val="both"/>
        <w:rPr>
          <w:rFonts w:asciiTheme="majorHAnsi" w:hAnsiTheme="majorHAnsi" w:cstheme="majorHAnsi"/>
        </w:rPr>
      </w:pPr>
      <w:r w:rsidRPr="00CD0C90">
        <w:rPr>
          <w:rFonts w:asciiTheme="majorHAnsi" w:hAnsiTheme="majorHAnsi" w:cstheme="majorHAnsi"/>
        </w:rPr>
        <w:t xml:space="preserve">El marco conceptual de investigación se construye a partir de la necesidad de comprender de qué manera los procesos legislativos, la formación de la agenda pública, la gobernabilidad y las políticas públicas se articulan en el diseño e implementación de la política de transición energética justa en Colombia.  </w:t>
      </w:r>
    </w:p>
    <w:p w14:paraId="32C41EF4" w14:textId="78334F9A" w:rsidR="110633E4" w:rsidRPr="00CD0C90" w:rsidRDefault="110633E4" w:rsidP="00CD0C90">
      <w:pPr>
        <w:pStyle w:val="Prrafodelista"/>
        <w:ind w:left="0"/>
        <w:jc w:val="both"/>
        <w:rPr>
          <w:rFonts w:asciiTheme="majorHAnsi" w:hAnsiTheme="majorHAnsi" w:cstheme="majorHAnsi"/>
        </w:rPr>
      </w:pPr>
    </w:p>
    <w:p w14:paraId="36469AB6" w14:textId="6C640985" w:rsidR="4CCE0E54" w:rsidRPr="00CD0C90" w:rsidRDefault="4CCE0E54" w:rsidP="00CD0C90">
      <w:pPr>
        <w:pStyle w:val="Prrafodelista"/>
        <w:ind w:left="0"/>
        <w:jc w:val="both"/>
        <w:rPr>
          <w:rFonts w:asciiTheme="majorHAnsi" w:hAnsiTheme="majorHAnsi" w:cstheme="majorHAnsi"/>
        </w:rPr>
      </w:pPr>
      <w:r w:rsidRPr="00CD0C90">
        <w:rPr>
          <w:rFonts w:asciiTheme="majorHAnsi" w:hAnsiTheme="majorHAnsi" w:cstheme="majorHAnsi"/>
        </w:rPr>
        <w:t>E</w:t>
      </w:r>
      <w:r w:rsidR="29155A59" w:rsidRPr="00CD0C90">
        <w:rPr>
          <w:rFonts w:asciiTheme="majorHAnsi" w:hAnsiTheme="majorHAnsi" w:cstheme="majorHAnsi"/>
        </w:rPr>
        <w:t>l</w:t>
      </w:r>
      <w:r w:rsidRPr="00CD0C90">
        <w:rPr>
          <w:rFonts w:asciiTheme="majorHAnsi" w:hAnsiTheme="majorHAnsi" w:cstheme="majorHAnsi"/>
        </w:rPr>
        <w:t xml:space="preserve"> </w:t>
      </w:r>
      <w:r w:rsidRPr="00CD0C90">
        <w:rPr>
          <w:rFonts w:asciiTheme="majorHAnsi" w:hAnsiTheme="majorHAnsi" w:cstheme="majorHAnsi"/>
          <w:b/>
          <w:bCs/>
        </w:rPr>
        <w:t>análisis estratégico legislativo</w:t>
      </w:r>
      <w:r w:rsidRPr="00CD0C90">
        <w:rPr>
          <w:rFonts w:asciiTheme="majorHAnsi" w:hAnsiTheme="majorHAnsi" w:cstheme="majorHAnsi"/>
        </w:rPr>
        <w:t xml:space="preserve"> (AEL) se entiende como el proceso sistemático mediante el cual el Ministerio de Minas y Energía estudia, prioriza y gestiona sus relaciones con el Congreso de la República, con el propósito de desarrollar normatividad técnica en los temas que le corresponde por mandato legal, apoyar en la construcción de políticas públicas y posicionar la agenda del sector minero energético en el legislativo. El abordaje del AEL va mucho más allá del diálogo coyuntural y constituye enfoque analítico clave para el relacionamiento institucional del Min Energía con actores externos, incorporando a su </w:t>
      </w:r>
      <w:r w:rsidRPr="00CD0C90">
        <w:rPr>
          <w:rFonts w:asciiTheme="majorHAnsi" w:hAnsiTheme="majorHAnsi" w:cstheme="majorHAnsi"/>
        </w:rPr>
        <w:lastRenderedPageBreak/>
        <w:t xml:space="preserve">ejercicio herramientas como el diagnóstico de actores congresionales clave, mapeo de temas de interés y comisiones, análisis de flujos de proyectos y diseño de estrategias de "softening up" (Kingdon, 2011; Delgado-Guembes, 2020; Uribe, 2021). </w:t>
      </w:r>
    </w:p>
    <w:p w14:paraId="69C10966" w14:textId="6DFB7536" w:rsidR="110633E4" w:rsidRPr="00CD0C90" w:rsidRDefault="110633E4" w:rsidP="00CD0C90">
      <w:pPr>
        <w:pStyle w:val="Prrafodelista"/>
        <w:ind w:left="0"/>
        <w:jc w:val="both"/>
        <w:rPr>
          <w:rFonts w:asciiTheme="majorHAnsi" w:hAnsiTheme="majorHAnsi" w:cstheme="majorHAnsi"/>
        </w:rPr>
      </w:pPr>
    </w:p>
    <w:p w14:paraId="19D982BB" w14:textId="5F5158DB" w:rsidR="4CCE0E54" w:rsidRPr="00CD0C90" w:rsidRDefault="4CCE0E54" w:rsidP="00CD0C90">
      <w:pPr>
        <w:pStyle w:val="Prrafodelista"/>
        <w:ind w:left="0"/>
        <w:jc w:val="both"/>
        <w:rPr>
          <w:rFonts w:asciiTheme="majorHAnsi" w:hAnsiTheme="majorHAnsi" w:cstheme="majorHAnsi"/>
        </w:rPr>
      </w:pPr>
      <w:r w:rsidRPr="00CD0C90">
        <w:rPr>
          <w:rFonts w:asciiTheme="majorHAnsi" w:hAnsiTheme="majorHAnsi" w:cstheme="majorHAnsi"/>
        </w:rPr>
        <w:t xml:space="preserve">Para precisar el </w:t>
      </w:r>
      <w:r w:rsidRPr="00CD0C90">
        <w:rPr>
          <w:rFonts w:asciiTheme="majorHAnsi" w:hAnsiTheme="majorHAnsi" w:cstheme="majorHAnsi"/>
          <w:b/>
          <w:bCs/>
        </w:rPr>
        <w:t xml:space="preserve">control </w:t>
      </w:r>
      <w:r w:rsidRPr="00CD0C90">
        <w:rPr>
          <w:rFonts w:asciiTheme="majorHAnsi" w:hAnsiTheme="majorHAnsi" w:cstheme="majorHAnsi"/>
        </w:rPr>
        <w:t xml:space="preserve">como un factor fundamental en el relacionamiento legislativo-ejecutivo, este trabajo hace una diferenciación entre el control político y el control legislativo. </w:t>
      </w:r>
    </w:p>
    <w:p w14:paraId="06689090" w14:textId="5317F246" w:rsidR="110633E4" w:rsidRPr="00CD0C90" w:rsidRDefault="110633E4" w:rsidP="00CD0C90">
      <w:pPr>
        <w:pStyle w:val="Prrafodelista"/>
        <w:ind w:left="0"/>
        <w:jc w:val="both"/>
        <w:rPr>
          <w:rFonts w:asciiTheme="majorHAnsi" w:hAnsiTheme="majorHAnsi" w:cstheme="majorHAnsi"/>
        </w:rPr>
      </w:pPr>
    </w:p>
    <w:p w14:paraId="4F39F5C8" w14:textId="430D0DC0" w:rsidR="4CCE0E54" w:rsidRPr="00CD0C90" w:rsidRDefault="4CCE0E54" w:rsidP="00CD0C90">
      <w:pPr>
        <w:pStyle w:val="Prrafodelista"/>
        <w:ind w:left="0"/>
        <w:jc w:val="both"/>
        <w:rPr>
          <w:rFonts w:asciiTheme="majorHAnsi" w:hAnsiTheme="majorHAnsi" w:cstheme="majorHAnsi"/>
        </w:rPr>
      </w:pPr>
      <w:r w:rsidRPr="00CD0C90">
        <w:rPr>
          <w:rFonts w:asciiTheme="majorHAnsi" w:hAnsiTheme="majorHAnsi" w:cstheme="majorHAnsi"/>
        </w:rPr>
        <w:t xml:space="preserve">El </w:t>
      </w:r>
      <w:r w:rsidRPr="00CD0C90">
        <w:rPr>
          <w:rFonts w:asciiTheme="majorHAnsi" w:hAnsiTheme="majorHAnsi" w:cstheme="majorHAnsi"/>
          <w:b/>
          <w:bCs/>
        </w:rPr>
        <w:t>control político</w:t>
      </w:r>
      <w:r w:rsidRPr="00CD0C90">
        <w:rPr>
          <w:rFonts w:asciiTheme="majorHAnsi" w:hAnsiTheme="majorHAnsi" w:cstheme="majorHAnsi"/>
        </w:rPr>
        <w:t xml:space="preserve">, consagrado en el art. 208 de la Constitución Política de 1991, se define como un mecanismo del Congreso para conocer, exigir y garantizar la responsabilidad política de las autoridades elegidas por voto popular y de los ministros, directores y jefes de la administración en el ejercicio del poder y la gestión gubernamental. </w:t>
      </w:r>
    </w:p>
    <w:p w14:paraId="3B3F2B64" w14:textId="5512459F" w:rsidR="110633E4" w:rsidRPr="00CD0C90" w:rsidRDefault="110633E4" w:rsidP="00CD0C90">
      <w:pPr>
        <w:pStyle w:val="Prrafodelista"/>
        <w:ind w:left="0"/>
        <w:jc w:val="both"/>
        <w:rPr>
          <w:rFonts w:asciiTheme="majorHAnsi" w:hAnsiTheme="majorHAnsi" w:cstheme="majorHAnsi"/>
        </w:rPr>
      </w:pPr>
    </w:p>
    <w:p w14:paraId="607C82A6" w14:textId="6EA362A2" w:rsidR="4CCE0E54" w:rsidRPr="00CD0C90" w:rsidRDefault="4CCE0E54" w:rsidP="00CD0C90">
      <w:pPr>
        <w:pStyle w:val="Prrafodelista"/>
        <w:ind w:left="0"/>
        <w:jc w:val="both"/>
        <w:rPr>
          <w:rFonts w:asciiTheme="majorHAnsi" w:hAnsiTheme="majorHAnsi" w:cstheme="majorHAnsi"/>
        </w:rPr>
      </w:pPr>
      <w:r w:rsidRPr="00CD0C90">
        <w:rPr>
          <w:rFonts w:asciiTheme="majorHAnsi" w:hAnsiTheme="majorHAnsi" w:cstheme="majorHAnsi"/>
        </w:rPr>
        <w:t xml:space="preserve">De otro lado, el </w:t>
      </w:r>
      <w:r w:rsidRPr="00CD0C90">
        <w:rPr>
          <w:rFonts w:asciiTheme="majorHAnsi" w:hAnsiTheme="majorHAnsi" w:cstheme="majorHAnsi"/>
          <w:b/>
          <w:bCs/>
        </w:rPr>
        <w:t>control legislativo</w:t>
      </w:r>
      <w:r w:rsidRPr="00CD0C90">
        <w:rPr>
          <w:rFonts w:asciiTheme="majorHAnsi" w:hAnsiTheme="majorHAnsi" w:cstheme="majorHAnsi"/>
        </w:rPr>
        <w:t xml:space="preserve"> está enfocado en la verificación del legislativo sobre la ejecución normativa y presupuestal de las actividades de la administración, es decir, la vigilancia sobre la acción general del gobierno respecto de sus los normativos que lo regulan (López y Gómez, 2011). </w:t>
      </w:r>
    </w:p>
    <w:p w14:paraId="3EFD0FCC" w14:textId="0BE4E609" w:rsidR="110633E4" w:rsidRPr="00CD0C90" w:rsidRDefault="110633E4" w:rsidP="00CD0C90">
      <w:pPr>
        <w:pStyle w:val="Prrafodelista"/>
        <w:ind w:left="0"/>
        <w:jc w:val="both"/>
        <w:rPr>
          <w:rFonts w:asciiTheme="majorHAnsi" w:hAnsiTheme="majorHAnsi" w:cstheme="majorHAnsi"/>
        </w:rPr>
      </w:pPr>
    </w:p>
    <w:p w14:paraId="7F412143" w14:textId="1C7938DC" w:rsidR="4CCE0E54" w:rsidRPr="00CD0C90" w:rsidRDefault="4CCE0E54" w:rsidP="00CD0C90">
      <w:pPr>
        <w:pStyle w:val="Prrafodelista"/>
        <w:ind w:left="0"/>
        <w:jc w:val="both"/>
        <w:rPr>
          <w:rFonts w:asciiTheme="majorHAnsi" w:hAnsiTheme="majorHAnsi" w:cstheme="majorHAnsi"/>
        </w:rPr>
      </w:pPr>
      <w:r w:rsidRPr="00CD0C90">
        <w:rPr>
          <w:rFonts w:asciiTheme="majorHAnsi" w:hAnsiTheme="majorHAnsi" w:cstheme="majorHAnsi"/>
        </w:rPr>
        <w:t xml:space="preserve">En el contexto de la teoría principal-agente, el control político es la principal forma de monitoreo del Congreso sobre el Ministerio, la cual se ejecuta mediante citaciones obligatorias y mociones de censura, bien sea para mitigar asimetrías de información inherentes a la especialización técnica del Ministerio, o para rendir cuentas sobre un tema de particular interés para el Congreso. La debilidad estructural del AEL puede transformar estos mecanismos proactivos en intervenciones reactivas, generando altos costos de agenciamiento de las políticas que obstaculizan el desarrollo de la TEJ. </w:t>
      </w:r>
    </w:p>
    <w:p w14:paraId="502FB59E" w14:textId="39E15351" w:rsidR="110633E4" w:rsidRPr="00CD0C90" w:rsidRDefault="110633E4" w:rsidP="00CD0C90">
      <w:pPr>
        <w:pStyle w:val="Prrafodelista"/>
        <w:ind w:left="0"/>
        <w:jc w:val="both"/>
        <w:rPr>
          <w:rFonts w:asciiTheme="majorHAnsi" w:hAnsiTheme="majorHAnsi" w:cstheme="majorHAnsi"/>
        </w:rPr>
      </w:pPr>
    </w:p>
    <w:p w14:paraId="6EBB8FC0" w14:textId="7AB612AB" w:rsidR="4CCE0E54" w:rsidRPr="00CD0C90" w:rsidRDefault="4CCE0E54" w:rsidP="00CD0C90">
      <w:pPr>
        <w:pStyle w:val="Prrafodelista"/>
        <w:ind w:left="0"/>
        <w:jc w:val="both"/>
        <w:rPr>
          <w:rFonts w:asciiTheme="majorHAnsi" w:hAnsiTheme="majorHAnsi" w:cstheme="majorHAnsi"/>
        </w:rPr>
      </w:pPr>
      <w:r w:rsidRPr="00CD0C90">
        <w:rPr>
          <w:rFonts w:asciiTheme="majorHAnsi" w:hAnsiTheme="majorHAnsi" w:cstheme="majorHAnsi"/>
        </w:rPr>
        <w:t xml:space="preserve">De otra parte, es importante abordar la formación de la </w:t>
      </w:r>
      <w:r w:rsidRPr="00CD0C90">
        <w:rPr>
          <w:rFonts w:asciiTheme="majorHAnsi" w:hAnsiTheme="majorHAnsi" w:cstheme="majorHAnsi"/>
          <w:b/>
          <w:bCs/>
        </w:rPr>
        <w:t>agenda pública</w:t>
      </w:r>
      <w:r w:rsidRPr="00CD0C90">
        <w:rPr>
          <w:rFonts w:asciiTheme="majorHAnsi" w:hAnsiTheme="majorHAnsi" w:cstheme="majorHAnsi"/>
        </w:rPr>
        <w:t xml:space="preserve"> como un proceso mediante el cual las problemáticas públicas o los temas de interés general sin definidos como tal por los actores más relevantes en el sistema político, y entran a formar parte de un abordaje gubernamental. No se trata de un proceso ordenado o meramente secuencial, sino el resultado de luchas de poder organizacional entre agentes institucionales, que compiten por la atención limitada de los responsables de decisiones (Jenkins, William, 1978). </w:t>
      </w:r>
    </w:p>
    <w:p w14:paraId="7139CA81" w14:textId="49682064" w:rsidR="110633E4" w:rsidRPr="00CD0C90" w:rsidRDefault="110633E4" w:rsidP="00CD0C90">
      <w:pPr>
        <w:pStyle w:val="Prrafodelista"/>
        <w:ind w:left="0"/>
        <w:jc w:val="both"/>
        <w:rPr>
          <w:rFonts w:asciiTheme="majorHAnsi" w:hAnsiTheme="majorHAnsi" w:cstheme="majorHAnsi"/>
        </w:rPr>
      </w:pPr>
    </w:p>
    <w:p w14:paraId="741D17CD" w14:textId="4E6A7EBA" w:rsidR="4CCE0E54" w:rsidRPr="00CD0C90" w:rsidRDefault="4CCE0E54" w:rsidP="00CD0C90">
      <w:pPr>
        <w:pStyle w:val="Prrafodelista"/>
        <w:ind w:left="0"/>
        <w:jc w:val="both"/>
        <w:rPr>
          <w:rFonts w:asciiTheme="majorHAnsi" w:hAnsiTheme="majorHAnsi" w:cstheme="majorHAnsi"/>
        </w:rPr>
      </w:pPr>
      <w:r w:rsidRPr="00CD0C90">
        <w:rPr>
          <w:rFonts w:asciiTheme="majorHAnsi" w:hAnsiTheme="majorHAnsi" w:cstheme="majorHAnsi"/>
        </w:rPr>
        <w:t xml:space="preserve">El agendamiento es un proceso político que implica identificar qué problemas merecen atención para el gobierno nacional o local, a partir de un conjunto más amplio de demandas sociales, lo que también lo hace dependiente de la estructura organizacional del gobierno (Jenkins, 1978), y, a su vez, lo convierte en un campo de lucha de intereses de los actores dentro de marcos de acción formal e informal que inciden en las políticas públicas (Alzate y Romo, 2017). </w:t>
      </w:r>
    </w:p>
    <w:p w14:paraId="4A894A6D" w14:textId="74A75675" w:rsidR="110633E4" w:rsidRPr="00CD0C90" w:rsidRDefault="110633E4" w:rsidP="00CD0C90">
      <w:pPr>
        <w:pStyle w:val="Prrafodelista"/>
        <w:ind w:left="0"/>
        <w:jc w:val="both"/>
        <w:rPr>
          <w:rFonts w:asciiTheme="majorHAnsi" w:hAnsiTheme="majorHAnsi" w:cstheme="majorHAnsi"/>
        </w:rPr>
      </w:pPr>
    </w:p>
    <w:p w14:paraId="4B112A44" w14:textId="6F8C6395" w:rsidR="4CCE0E54" w:rsidRPr="00CD0C90" w:rsidRDefault="4CCE0E54" w:rsidP="00CD0C90">
      <w:pPr>
        <w:pStyle w:val="Prrafodelista"/>
        <w:ind w:left="0"/>
        <w:jc w:val="both"/>
        <w:rPr>
          <w:rFonts w:asciiTheme="majorHAnsi" w:hAnsiTheme="majorHAnsi" w:cstheme="majorHAnsi"/>
        </w:rPr>
      </w:pPr>
      <w:r w:rsidRPr="00CD0C90">
        <w:rPr>
          <w:rFonts w:asciiTheme="majorHAnsi" w:hAnsiTheme="majorHAnsi" w:cstheme="majorHAnsi"/>
        </w:rPr>
        <w:t xml:space="preserve">En este sentido, la definición que así se aborda sobre </w:t>
      </w:r>
      <w:r w:rsidRPr="00CD0C90">
        <w:rPr>
          <w:rFonts w:asciiTheme="majorHAnsi" w:hAnsiTheme="majorHAnsi" w:cstheme="majorHAnsi"/>
          <w:b/>
          <w:bCs/>
        </w:rPr>
        <w:t>políticas públicas</w:t>
      </w:r>
      <w:r w:rsidRPr="00CD0C90">
        <w:rPr>
          <w:rFonts w:asciiTheme="majorHAnsi" w:hAnsiTheme="majorHAnsi" w:cstheme="majorHAnsi"/>
        </w:rPr>
        <w:t xml:space="preserve"> es la que presenta Velázquez, según el cual se trata de</w:t>
      </w:r>
      <w:r w:rsidR="1B5483A2" w:rsidRPr="00CD0C90">
        <w:rPr>
          <w:rFonts w:asciiTheme="majorHAnsi" w:hAnsiTheme="majorHAnsi" w:cstheme="majorHAnsi"/>
        </w:rPr>
        <w:t xml:space="preserve"> </w:t>
      </w:r>
    </w:p>
    <w:p w14:paraId="6E85F1E2" w14:textId="2C21B09C" w:rsidR="4CCE0E54" w:rsidRPr="00CD0C90" w:rsidRDefault="4CCE0E54" w:rsidP="00CD0C90">
      <w:pPr>
        <w:pStyle w:val="Prrafodelista"/>
        <w:jc w:val="both"/>
        <w:rPr>
          <w:rFonts w:asciiTheme="majorHAnsi" w:hAnsiTheme="majorHAnsi" w:cstheme="majorHAnsi"/>
        </w:rPr>
      </w:pPr>
      <w:r w:rsidRPr="00CD0C90">
        <w:rPr>
          <w:rFonts w:asciiTheme="majorHAnsi" w:hAnsiTheme="majorHAnsi" w:cstheme="majorHAnsi"/>
        </w:rPr>
        <w:lastRenderedPageBreak/>
        <w:t xml:space="preserve">un proceso integrador de decisiones, acciones, inacciones, acuerdos e instrumentos, adelantado por autoridades púbicas con la participación eventual de los particulares, y encaminado a solucionar o prevenir una situación definida como problemática. La política pública hace parte de un ambiente determinado del cual se nutre y al cual pretende modificar o mantener (…) y será exitosa cuando logre producir los resultados previstos por sus autores, contribuyendo a la reducción del problema o a su prevención; sin embargo, esto no siempre ocurre, pudiendo fracasar total o parcialmente, incluso agravando la situación considerada inicialmente. (Velásquez, 2010, p. 156). </w:t>
      </w:r>
    </w:p>
    <w:p w14:paraId="22277874" w14:textId="78DDA735" w:rsidR="110633E4" w:rsidRPr="00CD0C90" w:rsidRDefault="110633E4" w:rsidP="00CD0C90">
      <w:pPr>
        <w:pStyle w:val="Prrafodelista"/>
        <w:ind w:left="0"/>
        <w:jc w:val="both"/>
        <w:rPr>
          <w:rFonts w:asciiTheme="majorHAnsi" w:hAnsiTheme="majorHAnsi" w:cstheme="majorHAnsi"/>
        </w:rPr>
      </w:pPr>
    </w:p>
    <w:p w14:paraId="1A523D79" w14:textId="0F6C79E1" w:rsidR="18A6F7E8" w:rsidRPr="00CD0C90" w:rsidRDefault="18A6F7E8" w:rsidP="00CD0C90">
      <w:pPr>
        <w:pStyle w:val="Prrafodelista"/>
        <w:ind w:left="0"/>
        <w:jc w:val="both"/>
        <w:rPr>
          <w:rFonts w:asciiTheme="majorHAnsi" w:hAnsiTheme="majorHAnsi" w:cstheme="majorHAnsi"/>
        </w:rPr>
      </w:pPr>
      <w:r w:rsidRPr="00CD0C90">
        <w:rPr>
          <w:rFonts w:asciiTheme="majorHAnsi" w:hAnsiTheme="majorHAnsi" w:cstheme="majorHAnsi"/>
        </w:rPr>
        <w:t>Para el caso de estudio, y d</w:t>
      </w:r>
      <w:r w:rsidR="4CCE0E54" w:rsidRPr="00CD0C90">
        <w:rPr>
          <w:rFonts w:asciiTheme="majorHAnsi" w:hAnsiTheme="majorHAnsi" w:cstheme="majorHAnsi"/>
        </w:rPr>
        <w:t xml:space="preserve">e manera más precisa, la </w:t>
      </w:r>
      <w:r w:rsidR="4CCE0E54" w:rsidRPr="00CD0C90">
        <w:rPr>
          <w:rFonts w:asciiTheme="majorHAnsi" w:hAnsiTheme="majorHAnsi" w:cstheme="majorHAnsi"/>
          <w:b/>
          <w:bCs/>
        </w:rPr>
        <w:t>política de transición energética justa (TEJ)</w:t>
      </w:r>
      <w:r w:rsidR="4CCE0E54" w:rsidRPr="00CD0C90">
        <w:rPr>
          <w:rFonts w:asciiTheme="majorHAnsi" w:hAnsiTheme="majorHAnsi" w:cstheme="majorHAnsi"/>
        </w:rPr>
        <w:t xml:space="preserve"> es un proceso de transformación integral, que diseña, articula, e implementa, estrategias intersectoriales para la sustitución progresiva de los combustibles fósiles por Fuentes No Convencionales de Energía Renovable (FNECR), garantizando un sistema energético más equitativo e impulsando un crecimiento sostenible, eficiente, tecnológico, ambiental, y social” (UPME, s. f., CONPES 4075 de 2022). </w:t>
      </w:r>
    </w:p>
    <w:p w14:paraId="3370D336" w14:textId="234305A8" w:rsidR="110633E4" w:rsidRPr="00CD0C90" w:rsidRDefault="110633E4" w:rsidP="00CD0C90">
      <w:pPr>
        <w:pStyle w:val="Prrafodelista"/>
        <w:ind w:left="0"/>
        <w:jc w:val="both"/>
        <w:rPr>
          <w:rFonts w:asciiTheme="majorHAnsi" w:hAnsiTheme="majorHAnsi" w:cstheme="majorHAnsi"/>
        </w:rPr>
      </w:pPr>
    </w:p>
    <w:p w14:paraId="5C19F215" w14:textId="6263AA3E" w:rsidR="4CCE0E54" w:rsidRPr="00CD0C90" w:rsidRDefault="4CCE0E54" w:rsidP="00CD0C90">
      <w:pPr>
        <w:pStyle w:val="Prrafodelista"/>
        <w:ind w:left="0"/>
        <w:jc w:val="both"/>
        <w:rPr>
          <w:rFonts w:asciiTheme="majorHAnsi" w:hAnsiTheme="majorHAnsi" w:cstheme="majorHAnsi"/>
        </w:rPr>
      </w:pPr>
      <w:r w:rsidRPr="00CD0C90">
        <w:rPr>
          <w:rFonts w:asciiTheme="majorHAnsi" w:hAnsiTheme="majorHAnsi" w:cstheme="majorHAnsi"/>
        </w:rPr>
        <w:t xml:space="preserve">La TEJ, basada en los principios de equidad, gradualidad, soberanía y confiabilidad, participación social vinculante, ciencia, innovación y formación continua, tiene un horizonte de ejecución de seis años entre 2022 y 2028, y propone una serie de lineamientos y estrategias para </w:t>
      </w:r>
    </w:p>
    <w:p w14:paraId="0AA3CBE0" w14:textId="2B9C73CF" w:rsidR="4CCE0E54" w:rsidRPr="00CD0C90" w:rsidRDefault="4CCE0E54" w:rsidP="00CD0C90">
      <w:pPr>
        <w:pStyle w:val="Prrafodelista"/>
        <w:jc w:val="both"/>
        <w:rPr>
          <w:rFonts w:asciiTheme="majorHAnsi" w:hAnsiTheme="majorHAnsi" w:cstheme="majorHAnsi"/>
        </w:rPr>
      </w:pPr>
      <w:r w:rsidRPr="00CD0C90">
        <w:rPr>
          <w:rFonts w:asciiTheme="majorHAnsi" w:hAnsiTheme="majorHAnsi" w:cstheme="majorHAnsi"/>
        </w:rPr>
        <w:t>incrementar la seguridad energética; incentivar el conocimiento y la innovación en transición energética; generar mayor competitividad y desarrollo económico desde el sector energético, y desarrollar un sistema energético con bajas emisiones de GEI en el marco de la realidad colombiana. (CONPES 4075 de 2022, p. 11)</w:t>
      </w:r>
      <w:r w:rsidR="62AB328D" w:rsidRPr="00CD0C90">
        <w:rPr>
          <w:rFonts w:asciiTheme="majorHAnsi" w:hAnsiTheme="majorHAnsi" w:cstheme="majorHAnsi"/>
        </w:rPr>
        <w:t>.</w:t>
      </w:r>
    </w:p>
    <w:p w14:paraId="76ECF86D" w14:textId="6BA07B1D" w:rsidR="110633E4" w:rsidRPr="00CD0C90" w:rsidRDefault="110633E4" w:rsidP="00CD0C90">
      <w:pPr>
        <w:pStyle w:val="Prrafodelista"/>
        <w:jc w:val="both"/>
        <w:rPr>
          <w:rFonts w:asciiTheme="majorHAnsi" w:hAnsiTheme="majorHAnsi" w:cstheme="majorHAnsi"/>
        </w:rPr>
      </w:pPr>
    </w:p>
    <w:p w14:paraId="3D46CBF2" w14:textId="6190E7A8" w:rsidR="4CCE0E54" w:rsidRPr="00CD0C90" w:rsidRDefault="4CCE0E54" w:rsidP="00CD0C90">
      <w:pPr>
        <w:pStyle w:val="Prrafodelista"/>
        <w:ind w:left="0"/>
        <w:jc w:val="both"/>
        <w:rPr>
          <w:rFonts w:asciiTheme="majorHAnsi" w:hAnsiTheme="majorHAnsi" w:cstheme="majorHAnsi"/>
        </w:rPr>
      </w:pPr>
      <w:r w:rsidRPr="00CD0C90">
        <w:rPr>
          <w:rFonts w:asciiTheme="majorHAnsi" w:hAnsiTheme="majorHAnsi" w:cstheme="majorHAnsi"/>
        </w:rPr>
        <w:t xml:space="preserve">Finalmente, es importante resaltar la noción de </w:t>
      </w:r>
      <w:r w:rsidRPr="00CD0C90">
        <w:rPr>
          <w:rFonts w:asciiTheme="majorHAnsi" w:hAnsiTheme="majorHAnsi" w:cstheme="majorHAnsi"/>
          <w:b/>
          <w:bCs/>
        </w:rPr>
        <w:t xml:space="preserve">gobernabilidad </w:t>
      </w:r>
      <w:r w:rsidRPr="00CD0C90">
        <w:rPr>
          <w:rFonts w:asciiTheme="majorHAnsi" w:hAnsiTheme="majorHAnsi" w:cstheme="majorHAnsi"/>
        </w:rPr>
        <w:t xml:space="preserve">como la capacidad política del gobierno para “intermediar intereses, garantizar la legitimidad y gobernar” (Vargas, 2005, p. 329). Este concepto suele presentar dos acepciones: como gobernabilidad democrática y como grado de gobierno. </w:t>
      </w:r>
    </w:p>
    <w:p w14:paraId="45B6B598" w14:textId="3DC6F571" w:rsidR="110633E4" w:rsidRPr="00CD0C90" w:rsidRDefault="110633E4" w:rsidP="00CD0C90">
      <w:pPr>
        <w:pStyle w:val="Prrafodelista"/>
        <w:ind w:left="0"/>
        <w:jc w:val="both"/>
        <w:rPr>
          <w:rFonts w:asciiTheme="majorHAnsi" w:hAnsiTheme="majorHAnsi" w:cstheme="majorHAnsi"/>
        </w:rPr>
      </w:pPr>
    </w:p>
    <w:p w14:paraId="74376CCA" w14:textId="0F579A67" w:rsidR="4CCE0E54" w:rsidRPr="00CD0C90" w:rsidRDefault="4CCE0E54" w:rsidP="00CD0C90">
      <w:pPr>
        <w:pStyle w:val="Prrafodelista"/>
        <w:ind w:left="0"/>
        <w:jc w:val="both"/>
        <w:rPr>
          <w:rFonts w:asciiTheme="majorHAnsi" w:hAnsiTheme="majorHAnsi" w:cstheme="majorHAnsi"/>
        </w:rPr>
      </w:pPr>
      <w:r w:rsidRPr="00CD0C90">
        <w:rPr>
          <w:rFonts w:asciiTheme="majorHAnsi" w:hAnsiTheme="majorHAnsi" w:cstheme="majorHAnsi"/>
        </w:rPr>
        <w:t xml:space="preserve">La gobernabilidad democrática es la forma en que los actores estratégicos, con una representación proporcional a su grado de poder, resuelven sus conflictos acatando las decisiones de otras instituciones del orden democrático, mediante procesos en los que confluyen múltiples intereses en un ámbito de plenas garantías y libertades (Vargas, 2005). Mientras que la gobernabilidad como grado de gobierno, hace referencia a la percepción ciudadana sobre el desempeño del gobierno. </w:t>
      </w:r>
    </w:p>
    <w:p w14:paraId="116B8E1E" w14:textId="6356FEA2" w:rsidR="110633E4" w:rsidRPr="00CD0C90" w:rsidRDefault="110633E4" w:rsidP="00CD0C90">
      <w:pPr>
        <w:pStyle w:val="Prrafodelista"/>
        <w:ind w:left="0"/>
        <w:jc w:val="both"/>
        <w:rPr>
          <w:rFonts w:asciiTheme="majorHAnsi" w:hAnsiTheme="majorHAnsi" w:cstheme="majorHAnsi"/>
        </w:rPr>
      </w:pPr>
    </w:p>
    <w:p w14:paraId="213D9732" w14:textId="51265359" w:rsidR="009B1480" w:rsidRPr="00CD0C90" w:rsidRDefault="4CCE0E54" w:rsidP="00CD0C90">
      <w:pPr>
        <w:pStyle w:val="Prrafodelista"/>
        <w:ind w:left="0"/>
        <w:jc w:val="both"/>
        <w:rPr>
          <w:rFonts w:asciiTheme="majorHAnsi" w:hAnsiTheme="majorHAnsi" w:cstheme="majorHAnsi"/>
        </w:rPr>
      </w:pPr>
      <w:r w:rsidRPr="00CD0C90">
        <w:rPr>
          <w:rFonts w:asciiTheme="majorHAnsi" w:hAnsiTheme="majorHAnsi" w:cstheme="majorHAnsi"/>
        </w:rPr>
        <w:t>La gobernabilidad se configura como una variable resultado en el análisis de la relación MinEnergía-Congreso, que permite medir la eficacia institucional del Ministerio para acelerar la Transición Energética Justa (TEJ).</w:t>
      </w:r>
    </w:p>
    <w:p w14:paraId="13428CFB" w14:textId="67D9B683" w:rsidR="110633E4" w:rsidRPr="00CD0C90" w:rsidRDefault="739DF293" w:rsidP="00CD0C90">
      <w:pPr>
        <w:pStyle w:val="Ttulo1"/>
        <w:spacing w:line="276" w:lineRule="auto"/>
        <w:rPr>
          <w:rFonts w:asciiTheme="majorHAnsi" w:hAnsiTheme="majorHAnsi" w:cstheme="majorHAnsi"/>
          <w:sz w:val="22"/>
          <w:szCs w:val="22"/>
        </w:rPr>
      </w:pPr>
      <w:bookmarkStart w:id="8" w:name="_Toc234920346"/>
      <w:r w:rsidRPr="00CD0C90">
        <w:rPr>
          <w:rFonts w:asciiTheme="majorHAnsi" w:hAnsiTheme="majorHAnsi" w:cstheme="majorHAnsi"/>
          <w:sz w:val="22"/>
          <w:szCs w:val="22"/>
        </w:rPr>
        <w:lastRenderedPageBreak/>
        <w:t>Marco normativo</w:t>
      </w:r>
      <w:bookmarkEnd w:id="8"/>
    </w:p>
    <w:p w14:paraId="2B8E64ED" w14:textId="4D3C1806" w:rsidR="377B554C" w:rsidRPr="00CD0C90" w:rsidRDefault="377B554C" w:rsidP="00CD0C90">
      <w:pPr>
        <w:pStyle w:val="Prrafodelista"/>
        <w:ind w:left="0"/>
        <w:jc w:val="both"/>
        <w:rPr>
          <w:rFonts w:asciiTheme="majorHAnsi" w:hAnsiTheme="majorHAnsi" w:cstheme="majorHAnsi"/>
        </w:rPr>
      </w:pPr>
      <w:r w:rsidRPr="00CD0C90">
        <w:rPr>
          <w:rFonts w:asciiTheme="majorHAnsi" w:hAnsiTheme="majorHAnsi" w:cstheme="majorHAnsi"/>
        </w:rPr>
        <w:t xml:space="preserve">El marco normativo que sustenta esta investigación se encuentra en la intersección entre el orden constitucional colombiano, la legislación sectorial en materia energética y las disposiciones que regulan la relación entre el poder ejecutivo y el legislativo. </w:t>
      </w:r>
    </w:p>
    <w:p w14:paraId="2126F9AF" w14:textId="3A5A8143" w:rsidR="110633E4" w:rsidRPr="00CD0C90" w:rsidRDefault="110633E4" w:rsidP="00CD0C90">
      <w:pPr>
        <w:pStyle w:val="Prrafodelista"/>
        <w:ind w:left="0"/>
        <w:jc w:val="both"/>
        <w:rPr>
          <w:rFonts w:asciiTheme="majorHAnsi" w:hAnsiTheme="majorHAnsi" w:cstheme="majorHAnsi"/>
        </w:rPr>
      </w:pPr>
    </w:p>
    <w:p w14:paraId="3276444B" w14:textId="7F324DF7" w:rsidR="377B554C" w:rsidRPr="00CD0C90" w:rsidRDefault="377B554C" w:rsidP="00CD0C90">
      <w:pPr>
        <w:pStyle w:val="Prrafodelista"/>
        <w:ind w:left="0"/>
        <w:jc w:val="both"/>
        <w:rPr>
          <w:rFonts w:asciiTheme="majorHAnsi" w:hAnsiTheme="majorHAnsi" w:cstheme="majorHAnsi"/>
        </w:rPr>
      </w:pPr>
      <w:r w:rsidRPr="00CD0C90">
        <w:rPr>
          <w:rFonts w:asciiTheme="majorHAnsi" w:hAnsiTheme="majorHAnsi" w:cstheme="majorHAnsi"/>
        </w:rPr>
        <w:t xml:space="preserve">En primer lugar, la relación entre el Ministerio de Minas y Energía y el Congreso de la República se fundamenta en la división funcional de las ramas del poder público, planteada en la </w:t>
      </w:r>
      <w:r w:rsidRPr="00CD0C90">
        <w:rPr>
          <w:rFonts w:asciiTheme="majorHAnsi" w:hAnsiTheme="majorHAnsi" w:cstheme="majorHAnsi"/>
          <w:b/>
          <w:bCs/>
        </w:rPr>
        <w:t>Constitución Política de Colombia de 1991</w:t>
      </w:r>
      <w:r w:rsidRPr="00CD0C90">
        <w:rPr>
          <w:rFonts w:asciiTheme="majorHAnsi" w:hAnsiTheme="majorHAnsi" w:cstheme="majorHAnsi"/>
        </w:rPr>
        <w:t xml:space="preserve"> (Arts. 113, 132, 189), donde el Congreso ostenta la función de legislar sobre el marco de acción de la TEJ (Art. 150). A su vez, el artículo 208 consagra el control político como facultad del cuerpo legislativo para exigir responsabilidad a los ministros y directores de entidades administrativas, mientras que el control legislativo se materializa en la verificación de la ejecución normativa y presupuestal, lo que implica una vigilancia constante sobre la acción gubernamental en el sector energético. Estos mecanismos normativos son esenciales para comprender cómo el análisis estratégico legislativo se convierte en un factor condicionante de la relación institucional. </w:t>
      </w:r>
    </w:p>
    <w:p w14:paraId="5438341D" w14:textId="315ECACC" w:rsidR="110633E4" w:rsidRPr="00CD0C90" w:rsidRDefault="110633E4" w:rsidP="00CD0C90">
      <w:pPr>
        <w:pStyle w:val="Prrafodelista"/>
        <w:ind w:left="0"/>
        <w:jc w:val="both"/>
        <w:rPr>
          <w:rFonts w:asciiTheme="majorHAnsi" w:hAnsiTheme="majorHAnsi" w:cstheme="majorHAnsi"/>
        </w:rPr>
      </w:pPr>
    </w:p>
    <w:p w14:paraId="62D104A7" w14:textId="3B6C86F8" w:rsidR="377B554C" w:rsidRDefault="377B554C" w:rsidP="00CD0C90">
      <w:pPr>
        <w:pStyle w:val="Prrafodelista"/>
        <w:ind w:left="0"/>
        <w:jc w:val="both"/>
        <w:rPr>
          <w:rFonts w:asciiTheme="majorHAnsi" w:hAnsiTheme="majorHAnsi" w:cstheme="majorHAnsi"/>
        </w:rPr>
      </w:pPr>
      <w:r w:rsidRPr="00CD0C90">
        <w:rPr>
          <w:rFonts w:asciiTheme="majorHAnsi" w:hAnsiTheme="majorHAnsi" w:cstheme="majorHAnsi"/>
        </w:rPr>
        <w:t xml:space="preserve">En segundo lugar, </w:t>
      </w:r>
      <w:r w:rsidR="186B1812" w:rsidRPr="00CD0C90">
        <w:rPr>
          <w:rFonts w:asciiTheme="majorHAnsi" w:hAnsiTheme="majorHAnsi" w:cstheme="majorHAnsi"/>
        </w:rPr>
        <w:t xml:space="preserve">el </w:t>
      </w:r>
      <w:r w:rsidRPr="00CD0C90">
        <w:rPr>
          <w:rFonts w:asciiTheme="majorHAnsi" w:hAnsiTheme="majorHAnsi" w:cstheme="majorHAnsi"/>
          <w:b/>
          <w:bCs/>
        </w:rPr>
        <w:t>Decreto 0381 de 2012</w:t>
      </w:r>
      <w:r w:rsidR="741EC532" w:rsidRPr="00CD0C90">
        <w:rPr>
          <w:rFonts w:asciiTheme="majorHAnsi" w:hAnsiTheme="majorHAnsi" w:cstheme="majorHAnsi"/>
          <w:b/>
          <w:bCs/>
        </w:rPr>
        <w:t xml:space="preserve">, </w:t>
      </w:r>
      <w:r w:rsidR="741EC532" w:rsidRPr="00CD0C90">
        <w:rPr>
          <w:rFonts w:asciiTheme="majorHAnsi" w:hAnsiTheme="majorHAnsi" w:cstheme="majorHAnsi"/>
        </w:rPr>
        <w:t>“por el cual se modifica la estructura del Ministerio de Minas y Energía”</w:t>
      </w:r>
      <w:r w:rsidR="6577BA79" w:rsidRPr="00CD0C90">
        <w:rPr>
          <w:rFonts w:asciiTheme="majorHAnsi" w:hAnsiTheme="majorHAnsi" w:cstheme="majorHAnsi"/>
        </w:rPr>
        <w:t xml:space="preserve"> y el </w:t>
      </w:r>
      <w:r w:rsidR="6577BA79" w:rsidRPr="00CD0C90">
        <w:rPr>
          <w:rFonts w:asciiTheme="majorHAnsi" w:hAnsiTheme="majorHAnsi" w:cstheme="majorHAnsi"/>
          <w:b/>
          <w:bCs/>
        </w:rPr>
        <w:t>Decreto modificatorio 1617 de 2013</w:t>
      </w:r>
      <w:r w:rsidR="6577BA79" w:rsidRPr="00CD0C90">
        <w:rPr>
          <w:rFonts w:asciiTheme="majorHAnsi" w:hAnsiTheme="majorHAnsi" w:cstheme="majorHAnsi"/>
        </w:rPr>
        <w:t xml:space="preserve">, </w:t>
      </w:r>
      <w:r w:rsidR="3D5EC0FA" w:rsidRPr="00CD0C90">
        <w:rPr>
          <w:rFonts w:asciiTheme="majorHAnsi" w:hAnsiTheme="majorHAnsi" w:cstheme="majorHAnsi"/>
        </w:rPr>
        <w:t xml:space="preserve">fijan </w:t>
      </w:r>
      <w:r w:rsidRPr="00CD0C90">
        <w:rPr>
          <w:rFonts w:asciiTheme="majorHAnsi" w:hAnsiTheme="majorHAnsi" w:cstheme="majorHAnsi"/>
        </w:rPr>
        <w:t xml:space="preserve">ordenamiento jurídico sectorial en temas minero-energéticos define las competencias del Ministerio de Minas y Energía como cabeza del sector, encargado de la formulación de políticas públicas, la expedición de normatividad técnica y la coordinación con otras entidades del Estado. </w:t>
      </w:r>
    </w:p>
    <w:p w14:paraId="4D82B83A" w14:textId="77777777" w:rsidR="00E63C4F" w:rsidRPr="00CD0C90" w:rsidRDefault="00E63C4F" w:rsidP="00CD0C90">
      <w:pPr>
        <w:pStyle w:val="Prrafodelista"/>
        <w:ind w:left="0"/>
        <w:jc w:val="both"/>
        <w:rPr>
          <w:rFonts w:asciiTheme="majorHAnsi" w:hAnsiTheme="majorHAnsi" w:cstheme="majorHAnsi"/>
        </w:rPr>
      </w:pPr>
    </w:p>
    <w:p w14:paraId="4C86F6F5" w14:textId="2E712557" w:rsidR="377B554C" w:rsidRPr="00CD0C90" w:rsidRDefault="377B554C" w:rsidP="00CD0C90">
      <w:pPr>
        <w:pStyle w:val="Prrafodelista"/>
        <w:ind w:left="0"/>
        <w:jc w:val="both"/>
        <w:rPr>
          <w:rFonts w:asciiTheme="majorHAnsi" w:hAnsiTheme="majorHAnsi" w:cstheme="majorHAnsi"/>
        </w:rPr>
      </w:pPr>
      <w:r w:rsidRPr="00CD0C90">
        <w:rPr>
          <w:rFonts w:asciiTheme="majorHAnsi" w:hAnsiTheme="majorHAnsi" w:cstheme="majorHAnsi"/>
        </w:rPr>
        <w:t xml:space="preserve">Adicionalmente, el </w:t>
      </w:r>
      <w:r w:rsidRPr="00CD0C90">
        <w:rPr>
          <w:rFonts w:asciiTheme="majorHAnsi" w:hAnsiTheme="majorHAnsi" w:cstheme="majorHAnsi"/>
          <w:b/>
          <w:bCs/>
        </w:rPr>
        <w:t>CONPES 4075 de 2022</w:t>
      </w:r>
      <w:r w:rsidRPr="00CD0C90">
        <w:rPr>
          <w:rFonts w:asciiTheme="majorHAnsi" w:hAnsiTheme="majorHAnsi" w:cstheme="majorHAnsi"/>
        </w:rPr>
        <w:t xml:space="preserve">, que establece la política de transición energética, y la </w:t>
      </w:r>
      <w:r w:rsidRPr="00CD0C90">
        <w:rPr>
          <w:rFonts w:asciiTheme="majorHAnsi" w:hAnsiTheme="majorHAnsi" w:cstheme="majorHAnsi"/>
          <w:b/>
          <w:bCs/>
        </w:rPr>
        <w:t>ley 2294 de 2023</w:t>
      </w:r>
      <w:r w:rsidRPr="00CD0C90">
        <w:rPr>
          <w:rFonts w:asciiTheme="majorHAnsi" w:hAnsiTheme="majorHAnsi" w:cstheme="majorHAnsi"/>
        </w:rPr>
        <w:t xml:space="preserve">, que expide el Plan Nacional de Desarrollo 2022–2026 “Colombia potencia mundial de la vida”, establecen lineamientos para la transición energética justa, incluyendo metas de sustitución de combustibles fósiles, diversificación productiva y fortalecimiento de la seguridad energética.  </w:t>
      </w:r>
    </w:p>
    <w:p w14:paraId="79DD4D2F" w14:textId="5EA523BF" w:rsidR="110633E4" w:rsidRPr="00CD0C90" w:rsidRDefault="110633E4" w:rsidP="00CD0C90">
      <w:pPr>
        <w:pStyle w:val="Prrafodelista"/>
        <w:ind w:left="0"/>
        <w:jc w:val="both"/>
        <w:rPr>
          <w:rFonts w:asciiTheme="majorHAnsi" w:hAnsiTheme="majorHAnsi" w:cstheme="majorHAnsi"/>
        </w:rPr>
      </w:pPr>
    </w:p>
    <w:p w14:paraId="4FAD34CB" w14:textId="0CEA1BC9" w:rsidR="377B554C" w:rsidRPr="00CD0C90" w:rsidRDefault="377B554C" w:rsidP="00CD0C90">
      <w:pPr>
        <w:pStyle w:val="Prrafodelista"/>
        <w:ind w:left="0"/>
        <w:jc w:val="both"/>
        <w:rPr>
          <w:rFonts w:asciiTheme="majorHAnsi" w:hAnsiTheme="majorHAnsi" w:cstheme="majorHAnsi"/>
        </w:rPr>
      </w:pPr>
      <w:r w:rsidRPr="00CD0C90">
        <w:rPr>
          <w:rFonts w:asciiTheme="majorHAnsi" w:hAnsiTheme="majorHAnsi" w:cstheme="majorHAnsi"/>
        </w:rPr>
        <w:t xml:space="preserve">El PND 2022-2026 establece como uno de sus catalizadores la “transición energética justa, segura, confiable y eficiente”, que a su vez hace parte de la estrategia para el desarrollo económico a partir de eficiencia energética, nuevos energéticos y minerales estratégicos para la transición. Con esta estrategia se busca impulsar nuevas tecnologías para fuentes de energía renovables y no renovables que permitan satisfacer la demanda energética a nivel nacional, teniendo en cuenta las particularidades de los territorios (DNP, s. f.). </w:t>
      </w:r>
    </w:p>
    <w:p w14:paraId="770933E9" w14:textId="78337096" w:rsidR="110633E4" w:rsidRPr="00CD0C90" w:rsidRDefault="110633E4" w:rsidP="00CD0C90">
      <w:pPr>
        <w:pStyle w:val="Prrafodelista"/>
        <w:ind w:left="0"/>
        <w:jc w:val="both"/>
        <w:rPr>
          <w:rFonts w:asciiTheme="majorHAnsi" w:hAnsiTheme="majorHAnsi" w:cstheme="majorHAnsi"/>
        </w:rPr>
      </w:pPr>
    </w:p>
    <w:p w14:paraId="1FEF0293" w14:textId="435EB967" w:rsidR="377B554C" w:rsidRPr="00CD0C90" w:rsidRDefault="377B554C" w:rsidP="00CD0C90">
      <w:pPr>
        <w:pStyle w:val="Prrafodelista"/>
        <w:ind w:left="0"/>
        <w:jc w:val="both"/>
        <w:rPr>
          <w:rFonts w:asciiTheme="majorHAnsi" w:hAnsiTheme="majorHAnsi" w:cstheme="majorHAnsi"/>
        </w:rPr>
      </w:pPr>
      <w:r w:rsidRPr="00CD0C90">
        <w:rPr>
          <w:rFonts w:asciiTheme="majorHAnsi" w:hAnsiTheme="majorHAnsi" w:cstheme="majorHAnsi"/>
        </w:rPr>
        <w:t>En tercer lugar, las relaciones intergubernamentales (RIG), entendidas como “las actividades cruzadas, recíprocas o jerárquicas, entre las diferentes instancias y niveles del Estado en su función de gobierno” (Barbosa, 2026, p. 186), constituyen un marco normativo implícito que regula las actividades cruzadas y jerárquicas entre diferentes niveles del Estado.</w:t>
      </w:r>
    </w:p>
    <w:p w14:paraId="79EAACF5" w14:textId="69403B96" w:rsidR="110633E4" w:rsidRPr="00CD0C90" w:rsidRDefault="110633E4" w:rsidP="00CD0C90">
      <w:pPr>
        <w:pStyle w:val="Prrafodelista"/>
        <w:ind w:left="0"/>
        <w:jc w:val="both"/>
        <w:rPr>
          <w:rFonts w:asciiTheme="majorHAnsi" w:hAnsiTheme="majorHAnsi" w:cstheme="majorHAnsi"/>
        </w:rPr>
      </w:pPr>
    </w:p>
    <w:p w14:paraId="27135A6F" w14:textId="7589AFF3" w:rsidR="004724DF" w:rsidRPr="00CD0C90" w:rsidRDefault="377B554C" w:rsidP="00CD0C90">
      <w:pPr>
        <w:pStyle w:val="Prrafodelista"/>
        <w:ind w:left="0"/>
        <w:jc w:val="both"/>
        <w:rPr>
          <w:rFonts w:asciiTheme="majorHAnsi" w:hAnsiTheme="majorHAnsi" w:cstheme="majorHAnsi"/>
        </w:rPr>
      </w:pPr>
      <w:r w:rsidRPr="00CD0C90">
        <w:rPr>
          <w:rFonts w:asciiTheme="majorHAnsi" w:hAnsiTheme="majorHAnsi" w:cstheme="majorHAnsi"/>
        </w:rPr>
        <w:lastRenderedPageBreak/>
        <w:t xml:space="preserve">La </w:t>
      </w:r>
      <w:r w:rsidRPr="00CD0C90">
        <w:rPr>
          <w:rFonts w:asciiTheme="majorHAnsi" w:hAnsiTheme="majorHAnsi" w:cstheme="majorHAnsi"/>
          <w:b/>
          <w:bCs/>
        </w:rPr>
        <w:t>Ley 5 de 1992</w:t>
      </w:r>
      <w:r w:rsidRPr="00CD0C90">
        <w:rPr>
          <w:rFonts w:asciiTheme="majorHAnsi" w:hAnsiTheme="majorHAnsi" w:cstheme="majorHAnsi"/>
        </w:rPr>
        <w:t>, "por la cual se expide el Reglamento del Congreso; el Senado y la Cámara de Representantes", es clave para esta investigación en tanto regula la organización interna del legislativo, los procedimientos de control político y legislativo, el trámite de las iniciativas legislativas, así como los mecanismos de interacción con el ejecutivo. Esta ley proporciona las reglas de juego para el relacionamiento institucional, definiendo cómo se estructuran las comisiones, las citaciones y los debates de control, lo que incide directamente en la capacidad del Ministerio de Minas y Energía para posicionar su agenda en el Congreso.</w:t>
      </w:r>
    </w:p>
    <w:p w14:paraId="21BE3736" w14:textId="2FA39E84" w:rsidR="003472B9" w:rsidRPr="003472B9" w:rsidRDefault="004724DF" w:rsidP="003472B9">
      <w:pPr>
        <w:pStyle w:val="Ttulo1"/>
        <w:spacing w:line="276" w:lineRule="auto"/>
        <w:rPr>
          <w:rFonts w:asciiTheme="majorHAnsi" w:hAnsiTheme="majorHAnsi" w:cstheme="majorHAnsi"/>
          <w:sz w:val="22"/>
          <w:szCs w:val="22"/>
        </w:rPr>
      </w:pPr>
      <w:bookmarkStart w:id="9" w:name="_Hlk234698203"/>
      <w:bookmarkStart w:id="10" w:name="_Toc234920347"/>
      <w:r w:rsidRPr="00CD0C90">
        <w:rPr>
          <w:rFonts w:asciiTheme="majorHAnsi" w:hAnsiTheme="majorHAnsi" w:cstheme="majorHAnsi"/>
          <w:sz w:val="22"/>
          <w:szCs w:val="22"/>
        </w:rPr>
        <w:t>Justificación</w:t>
      </w:r>
      <w:bookmarkEnd w:id="10"/>
    </w:p>
    <w:p w14:paraId="0277218F" w14:textId="0BBB06A2" w:rsidR="003472B9" w:rsidRPr="003472B9" w:rsidRDefault="003472B9" w:rsidP="003472B9">
      <w:pPr>
        <w:jc w:val="both"/>
        <w:rPr>
          <w:rFonts w:asciiTheme="majorHAnsi" w:hAnsiTheme="majorHAnsi" w:cstheme="majorHAnsi"/>
        </w:rPr>
      </w:pPr>
      <w:r w:rsidRPr="003472B9">
        <w:rPr>
          <w:rFonts w:asciiTheme="majorHAnsi" w:hAnsiTheme="majorHAnsi" w:cstheme="majorHAnsi"/>
        </w:rPr>
        <w:t xml:space="preserve">Colombia enfrenta el reto de acelerar su transición energética justa (TEJ) en un contexto institucional marcado por la fragmentación partidista, la alta rotación en la conducción del sector minero-energético y una creciente conflictividad entre el </w:t>
      </w:r>
      <w:r>
        <w:rPr>
          <w:rFonts w:asciiTheme="majorHAnsi" w:hAnsiTheme="majorHAnsi" w:cstheme="majorHAnsi"/>
        </w:rPr>
        <w:t>e</w:t>
      </w:r>
      <w:r w:rsidRPr="003472B9">
        <w:rPr>
          <w:rFonts w:asciiTheme="majorHAnsi" w:hAnsiTheme="majorHAnsi" w:cstheme="majorHAnsi"/>
        </w:rPr>
        <w:t xml:space="preserve">jecutivo y el Congreso de la República. </w:t>
      </w:r>
      <w:r>
        <w:rPr>
          <w:rFonts w:asciiTheme="majorHAnsi" w:hAnsiTheme="majorHAnsi" w:cstheme="majorHAnsi"/>
        </w:rPr>
        <w:t>E</w:t>
      </w:r>
      <w:r w:rsidRPr="003472B9">
        <w:rPr>
          <w:rFonts w:asciiTheme="majorHAnsi" w:hAnsiTheme="majorHAnsi" w:cstheme="majorHAnsi"/>
        </w:rPr>
        <w:t>ntre 2022 y 2025</w:t>
      </w:r>
      <w:r>
        <w:rPr>
          <w:rFonts w:asciiTheme="majorHAnsi" w:hAnsiTheme="majorHAnsi" w:cstheme="majorHAnsi"/>
        </w:rPr>
        <w:t xml:space="preserve"> </w:t>
      </w:r>
      <w:r w:rsidRPr="003472B9">
        <w:rPr>
          <w:rFonts w:asciiTheme="majorHAnsi" w:hAnsiTheme="majorHAnsi" w:cstheme="majorHAnsi"/>
        </w:rPr>
        <w:t xml:space="preserve">el gobierno </w:t>
      </w:r>
      <w:r>
        <w:rPr>
          <w:rFonts w:asciiTheme="majorHAnsi" w:hAnsiTheme="majorHAnsi" w:cstheme="majorHAnsi"/>
        </w:rPr>
        <w:t xml:space="preserve">de Gustavo Petro </w:t>
      </w:r>
      <w:r w:rsidRPr="003472B9">
        <w:rPr>
          <w:rFonts w:asciiTheme="majorHAnsi" w:hAnsiTheme="majorHAnsi" w:cstheme="majorHAnsi"/>
        </w:rPr>
        <w:t>registró la tasa de éxito legislativo más baja de los últimos quince años</w:t>
      </w:r>
      <w:r>
        <w:rPr>
          <w:rFonts w:asciiTheme="majorHAnsi" w:hAnsiTheme="majorHAnsi" w:cstheme="majorHAnsi"/>
        </w:rPr>
        <w:t xml:space="preserve">, </w:t>
      </w:r>
      <w:r w:rsidRPr="003472B9">
        <w:rPr>
          <w:rFonts w:asciiTheme="majorHAnsi" w:hAnsiTheme="majorHAnsi" w:cstheme="majorHAnsi"/>
        </w:rPr>
        <w:t xml:space="preserve">mientras que el Ministerio de Minas y Energía ha sido conducido por </w:t>
      </w:r>
      <w:r>
        <w:rPr>
          <w:rFonts w:asciiTheme="majorHAnsi" w:hAnsiTheme="majorHAnsi" w:cstheme="majorHAnsi"/>
        </w:rPr>
        <w:t>3</w:t>
      </w:r>
      <w:r w:rsidRPr="003472B9">
        <w:rPr>
          <w:rFonts w:asciiTheme="majorHAnsi" w:hAnsiTheme="majorHAnsi" w:cstheme="majorHAnsi"/>
        </w:rPr>
        <w:t xml:space="preserve"> ministros distintos en tres años d</w:t>
      </w:r>
      <w:r>
        <w:rPr>
          <w:rFonts w:asciiTheme="majorHAnsi" w:hAnsiTheme="majorHAnsi" w:cstheme="majorHAnsi"/>
        </w:rPr>
        <w:t xml:space="preserve">e gobierno. </w:t>
      </w:r>
      <w:r w:rsidRPr="003472B9">
        <w:rPr>
          <w:rFonts w:asciiTheme="majorHAnsi" w:hAnsiTheme="majorHAnsi" w:cstheme="majorHAnsi"/>
        </w:rPr>
        <w:t>Esta inestabilidad coincide con la aprobación del CONPES 4075 de Política de Transición Energética, que distribuye 97 acciones entre 18 entidades del Estado, un diseño de política que exige una coordinación sostenida entre el Ejecutivo sectorial y el Legislativo para materializarse, pero que se ve comprometido cuando los canales institucionales de relacionamiento entre ambas ramas del poder son débiles o dependen de vínculos personalistas.</w:t>
      </w:r>
    </w:p>
    <w:p w14:paraId="0BD8B00C" w14:textId="61711E0F" w:rsidR="003472B9" w:rsidRPr="003472B9" w:rsidRDefault="003472B9" w:rsidP="003472B9">
      <w:pPr>
        <w:jc w:val="both"/>
        <w:rPr>
          <w:rFonts w:asciiTheme="majorHAnsi" w:hAnsiTheme="majorHAnsi" w:cstheme="majorHAnsi"/>
        </w:rPr>
      </w:pPr>
      <w:r w:rsidRPr="003472B9">
        <w:rPr>
          <w:rFonts w:asciiTheme="majorHAnsi" w:hAnsiTheme="majorHAnsi" w:cstheme="majorHAnsi"/>
        </w:rPr>
        <w:t xml:space="preserve">Frente a este panorama, </w:t>
      </w:r>
      <w:r>
        <w:rPr>
          <w:rFonts w:asciiTheme="majorHAnsi" w:hAnsiTheme="majorHAnsi" w:cstheme="majorHAnsi"/>
        </w:rPr>
        <w:t>es importante</w:t>
      </w:r>
      <w:r w:rsidRPr="003472B9">
        <w:rPr>
          <w:rFonts w:asciiTheme="majorHAnsi" w:hAnsiTheme="majorHAnsi" w:cstheme="majorHAnsi"/>
        </w:rPr>
        <w:t xml:space="preserve"> preguntarse por qué, a pesar de contar con un marco normativo relativamente robusto en materia de transición energética, su implementación legislativa avanza con lentitud y de manera fragmentada. La literatura sobre relaciones ejecutivo-legislativo en América Latina ofrece herramientas conceptuales para abordar esta pregunta: la teoría de los costos de transacción políticos (Spiller y Tommasi, 2003, 2007)</w:t>
      </w:r>
      <w:r>
        <w:rPr>
          <w:rFonts w:asciiTheme="majorHAnsi" w:hAnsiTheme="majorHAnsi" w:cstheme="majorHAnsi"/>
        </w:rPr>
        <w:t xml:space="preserve">, que </w:t>
      </w:r>
      <w:r w:rsidRPr="003472B9">
        <w:rPr>
          <w:rFonts w:asciiTheme="majorHAnsi" w:hAnsiTheme="majorHAnsi" w:cstheme="majorHAnsi"/>
        </w:rPr>
        <w:t>sugiere que la ausencia de arenas institucionalizadas de negociación eleva sistemáticamente los costos de cualquier reforma sectorial, mientras que la teoría de los veto players (Tsebelis, 2002) advierte que, en sistemas presidenciales multipartidistas como el colombiano, el número y la incongruencia de los actores con capacidad de bloqueo condicionan directamente el ritmo de aprobación de las políticas. No obstante, los estudios existentes sobre el presidencialismo de coalición colombiano se han concentrado en el comportamiento agregado del Congreso frente al Ejecutivo nacional (Carroll &amp; Pachón, 2016), sin profundizar en la forma en que un ministerio sectorial específico diseña y ejecuta su propio análisis estratégico legislativo como herramienta de gestión de esa relación.</w:t>
      </w:r>
    </w:p>
    <w:p w14:paraId="2F2641DA" w14:textId="2D18D38F" w:rsidR="003472B9" w:rsidRPr="003472B9" w:rsidRDefault="003472B9" w:rsidP="003472B9">
      <w:pPr>
        <w:jc w:val="both"/>
        <w:rPr>
          <w:rFonts w:asciiTheme="majorHAnsi" w:hAnsiTheme="majorHAnsi" w:cstheme="majorHAnsi"/>
        </w:rPr>
      </w:pPr>
      <w:r>
        <w:rPr>
          <w:rFonts w:asciiTheme="majorHAnsi" w:hAnsiTheme="majorHAnsi" w:cstheme="majorHAnsi"/>
        </w:rPr>
        <w:t>Si bien</w:t>
      </w:r>
      <w:r w:rsidRPr="003472B9">
        <w:rPr>
          <w:rFonts w:asciiTheme="majorHAnsi" w:hAnsiTheme="majorHAnsi" w:cstheme="majorHAnsi"/>
        </w:rPr>
        <w:t xml:space="preserve"> no existe evidencia sistemática sobre el funcionamiento del análisis estratégico legislativo (ASL) como instrumento institucional propio de un ministerio sectorial colombiano, ni sobre su incidencia diferenciada en la velocidad de tramitación de las iniciativas de transición energética justa</w:t>
      </w:r>
      <w:r>
        <w:rPr>
          <w:rFonts w:asciiTheme="majorHAnsi" w:hAnsiTheme="majorHAnsi" w:cstheme="majorHAnsi"/>
        </w:rPr>
        <w:t xml:space="preserve">, abordar </w:t>
      </w:r>
      <w:r w:rsidRPr="003472B9">
        <w:rPr>
          <w:rFonts w:asciiTheme="majorHAnsi" w:hAnsiTheme="majorHAnsi" w:cstheme="majorHAnsi"/>
        </w:rPr>
        <w:t xml:space="preserve">la forma en que un poder ejecutivo sectorial organiza su relacionamiento con el Congreso puede acelerar o </w:t>
      </w:r>
      <w:r w:rsidRPr="003472B9">
        <w:rPr>
          <w:rFonts w:asciiTheme="majorHAnsi" w:hAnsiTheme="majorHAnsi" w:cstheme="majorHAnsi"/>
        </w:rPr>
        <w:lastRenderedPageBreak/>
        <w:t xml:space="preserve">retrasar significativamente la aprobación de este tipo de políticas, lo </w:t>
      </w:r>
      <w:r>
        <w:rPr>
          <w:rFonts w:asciiTheme="majorHAnsi" w:hAnsiTheme="majorHAnsi" w:cstheme="majorHAnsi"/>
        </w:rPr>
        <w:t>que hace que esta investigación sea de gran relevancia</w:t>
      </w:r>
      <w:r w:rsidRPr="003472B9">
        <w:rPr>
          <w:rFonts w:asciiTheme="majorHAnsi" w:hAnsiTheme="majorHAnsi" w:cstheme="majorHAnsi"/>
        </w:rPr>
        <w:t>.</w:t>
      </w:r>
    </w:p>
    <w:p w14:paraId="76205880" w14:textId="766D6BCD" w:rsidR="004724DF" w:rsidRPr="00CD0C90" w:rsidRDefault="003472B9" w:rsidP="00CD0C90">
      <w:pPr>
        <w:pStyle w:val="Prrafodelista"/>
        <w:ind w:left="0"/>
        <w:jc w:val="both"/>
        <w:rPr>
          <w:rFonts w:asciiTheme="majorHAnsi" w:hAnsiTheme="majorHAnsi" w:cstheme="majorHAnsi"/>
        </w:rPr>
      </w:pPr>
      <w:r>
        <w:rPr>
          <w:rFonts w:asciiTheme="majorHAnsi" w:hAnsiTheme="majorHAnsi" w:cstheme="majorHAnsi"/>
        </w:rPr>
        <w:t>De esta forma</w:t>
      </w:r>
      <w:r w:rsidR="004724DF" w:rsidRPr="00CD0C90">
        <w:rPr>
          <w:rFonts w:asciiTheme="majorHAnsi" w:hAnsiTheme="majorHAnsi" w:cstheme="majorHAnsi"/>
        </w:rPr>
        <w:t>, ante el desafío de consolidar una estrategia analítica legislativa del Ministerio para promover el diálogo y el mejoramiento en las relaciones con el legislativo, de cara a la necesidad  en una estrategia de incidencia proactiva en la agenda legislativa, especialmente, en lo que respecta a los temas que abarcan la transición energética justa, se requiere analizar con mayor detalle el ejercicio del Ministerio, con el fin de proponer mejoras y parámetros que permitan fortalecer la comunicación y la interacción, incluso, más allá del periodo de gobierno.</w:t>
      </w:r>
    </w:p>
    <w:p w14:paraId="4C1D29A8" w14:textId="507C6143" w:rsidR="110633E4" w:rsidRPr="00CD0C90" w:rsidRDefault="6804AB73" w:rsidP="00CD0C90">
      <w:pPr>
        <w:pStyle w:val="Ttulo1"/>
        <w:spacing w:line="276" w:lineRule="auto"/>
        <w:rPr>
          <w:rFonts w:asciiTheme="majorHAnsi" w:hAnsiTheme="majorHAnsi" w:cstheme="majorHAnsi"/>
          <w:sz w:val="22"/>
          <w:szCs w:val="22"/>
        </w:rPr>
      </w:pPr>
      <w:bookmarkStart w:id="11" w:name="_Toc234920348"/>
      <w:bookmarkEnd w:id="9"/>
      <w:r w:rsidRPr="00CD0C90">
        <w:rPr>
          <w:rFonts w:asciiTheme="majorHAnsi" w:hAnsiTheme="majorHAnsi" w:cstheme="majorHAnsi"/>
          <w:sz w:val="22"/>
          <w:szCs w:val="22"/>
        </w:rPr>
        <w:t>Problemática</w:t>
      </w:r>
      <w:bookmarkEnd w:id="11"/>
    </w:p>
    <w:p w14:paraId="05991893" w14:textId="5312992F" w:rsidR="46929195" w:rsidRPr="00CD0C90" w:rsidRDefault="46929195" w:rsidP="00CD0C90">
      <w:pPr>
        <w:pStyle w:val="Prrafodelista"/>
        <w:ind w:left="0"/>
        <w:jc w:val="both"/>
        <w:rPr>
          <w:rFonts w:asciiTheme="majorHAnsi" w:hAnsiTheme="majorHAnsi" w:cstheme="majorHAnsi"/>
        </w:rPr>
      </w:pPr>
      <w:r w:rsidRPr="00CD0C90">
        <w:rPr>
          <w:rFonts w:asciiTheme="majorHAnsi" w:hAnsiTheme="majorHAnsi" w:cstheme="majorHAnsi"/>
        </w:rPr>
        <w:t xml:space="preserve">La transición energética justa en Colombia se ha consolidado como un eje central de política pública, impulsado por normas como la Ley 2099 de 2021 y los CONPES 4075 de 2022, 4129 de 2023 sobre transición energética y reindustrialización, que articulan la política energética nacional y buscan reducir emisiones de gases de efecto invernadero mientras se fortalece la seguridad y competitividad del sector minero energético. Sin embargo, la implementación de estas directrices enfrenta limitaciones en la articulación entre el </w:t>
      </w:r>
      <w:r w:rsidR="001D4B0A" w:rsidRPr="00CD0C90">
        <w:rPr>
          <w:rFonts w:asciiTheme="majorHAnsi" w:hAnsiTheme="majorHAnsi" w:cstheme="majorHAnsi"/>
        </w:rPr>
        <w:t>ejecutivo</w:t>
      </w:r>
      <w:r w:rsidRPr="00CD0C90">
        <w:rPr>
          <w:rFonts w:asciiTheme="majorHAnsi" w:hAnsiTheme="majorHAnsi" w:cstheme="majorHAnsi"/>
        </w:rPr>
        <w:t>, representado por el Ministerio de Minas y Energía, y el Congreso de la República, cuya aprobación y coordinación legislativas son fundamentales para operacionalizar la transición justa.</w:t>
      </w:r>
    </w:p>
    <w:p w14:paraId="15FEC45F" w14:textId="3ADDC3F4" w:rsidR="110633E4" w:rsidRPr="00CD0C90" w:rsidRDefault="110633E4" w:rsidP="00CD0C90">
      <w:pPr>
        <w:pStyle w:val="Prrafodelista"/>
        <w:ind w:left="0"/>
        <w:jc w:val="both"/>
        <w:rPr>
          <w:rFonts w:asciiTheme="majorHAnsi" w:hAnsiTheme="majorHAnsi" w:cstheme="majorHAnsi"/>
        </w:rPr>
      </w:pPr>
    </w:p>
    <w:p w14:paraId="0099E5E5" w14:textId="39586F5D" w:rsidR="46929195" w:rsidRPr="00CD0C90" w:rsidRDefault="46929195" w:rsidP="00CD0C90">
      <w:pPr>
        <w:pStyle w:val="Prrafodelista"/>
        <w:ind w:left="0"/>
        <w:jc w:val="both"/>
        <w:rPr>
          <w:rFonts w:asciiTheme="majorHAnsi" w:hAnsiTheme="majorHAnsi" w:cstheme="majorHAnsi"/>
        </w:rPr>
      </w:pPr>
      <w:r w:rsidRPr="00CD0C90">
        <w:rPr>
          <w:rFonts w:asciiTheme="majorHAnsi" w:hAnsiTheme="majorHAnsi" w:cstheme="majorHAnsi"/>
        </w:rPr>
        <w:t>A pesar de avances en marcos normativos y hojas de ruta, persisten vacíos en el análisis estratégico legislativo que dificultan una relación institucional fluida: la falta de mecanismos sistemáticos de coordinación entre el Congreso y el Ministerio, donde la interacción suele responder más a dinámicas políticas coyunturales que a un diseño estratégico, afectando la previsibilidad y legitimidad de la transición.</w:t>
      </w:r>
    </w:p>
    <w:p w14:paraId="3B9A7C1A" w14:textId="61036607" w:rsidR="110633E4" w:rsidRPr="00CD0C90" w:rsidRDefault="110633E4" w:rsidP="00CD0C90">
      <w:pPr>
        <w:pStyle w:val="Prrafodelista"/>
        <w:ind w:left="0"/>
        <w:jc w:val="both"/>
        <w:rPr>
          <w:rFonts w:asciiTheme="majorHAnsi" w:hAnsiTheme="majorHAnsi" w:cstheme="majorHAnsi"/>
        </w:rPr>
      </w:pPr>
    </w:p>
    <w:p w14:paraId="23C766F1" w14:textId="328A8383" w:rsidR="46929195" w:rsidRPr="00CD0C90" w:rsidRDefault="46929195" w:rsidP="00CD0C90">
      <w:pPr>
        <w:pStyle w:val="Prrafodelista"/>
        <w:ind w:left="0"/>
        <w:jc w:val="both"/>
        <w:rPr>
          <w:rFonts w:asciiTheme="majorHAnsi" w:hAnsiTheme="majorHAnsi" w:cstheme="majorHAnsi"/>
        </w:rPr>
      </w:pPr>
      <w:r w:rsidRPr="00CD0C90">
        <w:rPr>
          <w:rFonts w:asciiTheme="majorHAnsi" w:hAnsiTheme="majorHAnsi" w:cstheme="majorHAnsi"/>
        </w:rPr>
        <w:t>En este contexto, si bien la problemática central de este proyecto es la debilidad en el análisis</w:t>
      </w:r>
      <w:r w:rsidR="37252DD7" w:rsidRPr="00CD0C90">
        <w:rPr>
          <w:rFonts w:asciiTheme="majorHAnsi" w:hAnsiTheme="majorHAnsi" w:cstheme="majorHAnsi"/>
        </w:rPr>
        <w:t xml:space="preserve"> </w:t>
      </w:r>
      <w:r w:rsidRPr="00CD0C90">
        <w:rPr>
          <w:rFonts w:asciiTheme="majorHAnsi" w:hAnsiTheme="majorHAnsi" w:cstheme="majorHAnsi"/>
        </w:rPr>
        <w:t xml:space="preserve">estratégico sectorial y legislativo para impulsar la transición energética justa, esta investigación se centrará en comprender de qué manera el análisis estratégico legislativo, como herramienta de planeación, ha afectado la dinámica de relacionamiento entre el Ministerio de Minas </w:t>
      </w:r>
      <w:r w:rsidR="5E3AB532" w:rsidRPr="00CD0C90">
        <w:rPr>
          <w:rFonts w:asciiTheme="majorHAnsi" w:hAnsiTheme="majorHAnsi" w:cstheme="majorHAnsi"/>
        </w:rPr>
        <w:t>y Energía</w:t>
      </w:r>
      <w:r w:rsidRPr="00CD0C90">
        <w:rPr>
          <w:rFonts w:asciiTheme="majorHAnsi" w:hAnsiTheme="majorHAnsi" w:cstheme="majorHAnsi"/>
        </w:rPr>
        <w:t xml:space="preserve"> y el Congreso de la República, y qué mecanismos podrían fortalecer esta relación para</w:t>
      </w:r>
      <w:r w:rsidR="33BBB8B2" w:rsidRPr="00CD0C90">
        <w:rPr>
          <w:rFonts w:asciiTheme="majorHAnsi" w:hAnsiTheme="majorHAnsi" w:cstheme="majorHAnsi"/>
        </w:rPr>
        <w:t xml:space="preserve"> </w:t>
      </w:r>
      <w:r w:rsidRPr="00CD0C90">
        <w:rPr>
          <w:rFonts w:asciiTheme="majorHAnsi" w:hAnsiTheme="majorHAnsi" w:cstheme="majorHAnsi"/>
        </w:rPr>
        <w:t>acelerar el desarrollo de una política de transición energética justa.</w:t>
      </w:r>
    </w:p>
    <w:p w14:paraId="14F3FB94" w14:textId="0170E855" w:rsidR="110633E4" w:rsidRPr="00CD0C90" w:rsidRDefault="110633E4" w:rsidP="00CD0C90">
      <w:pPr>
        <w:pStyle w:val="Prrafodelista"/>
        <w:ind w:left="0"/>
        <w:jc w:val="both"/>
        <w:rPr>
          <w:rFonts w:asciiTheme="majorHAnsi" w:hAnsiTheme="majorHAnsi" w:cstheme="majorHAnsi"/>
        </w:rPr>
      </w:pPr>
    </w:p>
    <w:p w14:paraId="100F270D" w14:textId="714F2DF0" w:rsidR="110633E4" w:rsidRPr="00CD0C90" w:rsidRDefault="0AD2735B" w:rsidP="00CD0C90">
      <w:pPr>
        <w:pStyle w:val="Prrafodelista"/>
        <w:ind w:left="0"/>
        <w:jc w:val="both"/>
        <w:rPr>
          <w:rFonts w:asciiTheme="majorHAnsi" w:hAnsiTheme="majorHAnsi" w:cstheme="majorHAnsi"/>
        </w:rPr>
      </w:pPr>
      <w:r w:rsidRPr="00CD0C90">
        <w:rPr>
          <w:rFonts w:asciiTheme="majorHAnsi" w:hAnsiTheme="majorHAnsi" w:cstheme="majorHAnsi"/>
        </w:rPr>
        <w:t>De esta forma, la pregunta problema sobre la cual se orientará esta investigación es ¿de qué manera el análisis estratégico legislativo condiciona la dinámica de relacionamiento entre el Ministerio de Minas y Energía y el Congreso de la República, y qué estrategia institucional podría fortalecer dicha relación para acelerar el desarrollo de la política de transición energética justa?</w:t>
      </w:r>
    </w:p>
    <w:p w14:paraId="1AEDC3E6" w14:textId="491BBB66" w:rsidR="00D077D9" w:rsidRPr="00CD0C90" w:rsidRDefault="6804AB73" w:rsidP="00CD0C90">
      <w:pPr>
        <w:pStyle w:val="Ttulo1"/>
        <w:spacing w:line="276" w:lineRule="auto"/>
        <w:rPr>
          <w:rFonts w:asciiTheme="majorHAnsi" w:hAnsiTheme="majorHAnsi" w:cstheme="majorHAnsi"/>
          <w:sz w:val="22"/>
          <w:szCs w:val="22"/>
        </w:rPr>
      </w:pPr>
      <w:bookmarkStart w:id="12" w:name="_Toc234920349"/>
      <w:r w:rsidRPr="00CD0C90">
        <w:rPr>
          <w:rFonts w:asciiTheme="majorHAnsi" w:hAnsiTheme="majorHAnsi" w:cstheme="majorHAnsi"/>
          <w:sz w:val="22"/>
          <w:szCs w:val="22"/>
        </w:rPr>
        <w:lastRenderedPageBreak/>
        <w:t>Hipótesis</w:t>
      </w:r>
      <w:bookmarkEnd w:id="12"/>
    </w:p>
    <w:p w14:paraId="4EDAF1D2" w14:textId="54812882" w:rsidR="00D077D9" w:rsidRPr="00B829C8" w:rsidRDefault="2321EE32" w:rsidP="00CD0C90">
      <w:pPr>
        <w:pStyle w:val="Prrafodelista"/>
        <w:ind w:left="0"/>
        <w:jc w:val="both"/>
        <w:rPr>
          <w:rFonts w:asciiTheme="majorHAnsi" w:hAnsiTheme="majorHAnsi" w:cstheme="majorHAnsi"/>
        </w:rPr>
      </w:pPr>
      <w:r w:rsidRPr="00CD0C90">
        <w:rPr>
          <w:rFonts w:asciiTheme="majorHAnsi" w:hAnsiTheme="majorHAnsi" w:cstheme="majorHAnsi"/>
        </w:rPr>
        <w:t xml:space="preserve">La debilidad estructural del </w:t>
      </w:r>
      <w:r w:rsidRPr="00B829C8">
        <w:rPr>
          <w:rFonts w:asciiTheme="majorHAnsi" w:hAnsiTheme="majorHAnsi" w:cstheme="majorHAnsi"/>
        </w:rPr>
        <w:t>análisis estratégico legislativo ha generado una relación fragmentada y personalista entre el Ministerio de Minas y Energía y el Congreso de la República, lo que impide la consolidación de una estrategia institucional coherente para el impulso de las políticas de transición energética justa.</w:t>
      </w:r>
    </w:p>
    <w:p w14:paraId="634E82C2" w14:textId="0FD6DAA6" w:rsidR="00D077D9" w:rsidRPr="00B829C8" w:rsidRDefault="6804AB73" w:rsidP="00CD0C90">
      <w:pPr>
        <w:pStyle w:val="Ttulo1"/>
        <w:spacing w:line="276" w:lineRule="auto"/>
        <w:rPr>
          <w:rFonts w:asciiTheme="majorHAnsi" w:hAnsiTheme="majorHAnsi" w:cstheme="majorHAnsi"/>
          <w:sz w:val="22"/>
          <w:szCs w:val="22"/>
        </w:rPr>
      </w:pPr>
      <w:bookmarkStart w:id="13" w:name="_Hlk234698453"/>
      <w:bookmarkStart w:id="14" w:name="_Toc234920350"/>
      <w:r w:rsidRPr="00B829C8">
        <w:rPr>
          <w:rFonts w:asciiTheme="majorHAnsi" w:hAnsiTheme="majorHAnsi" w:cstheme="majorHAnsi"/>
          <w:sz w:val="22"/>
          <w:szCs w:val="22"/>
        </w:rPr>
        <w:t>Objetivos</w:t>
      </w:r>
      <w:bookmarkEnd w:id="14"/>
    </w:p>
    <w:p w14:paraId="69F4EC93" w14:textId="408ED823" w:rsidR="00D077D9" w:rsidRPr="00B829C8" w:rsidRDefault="1243538F" w:rsidP="00CD0C90">
      <w:pPr>
        <w:pStyle w:val="Ttulo3"/>
        <w:spacing w:line="276" w:lineRule="auto"/>
        <w:rPr>
          <w:rFonts w:asciiTheme="majorHAnsi" w:hAnsiTheme="majorHAnsi" w:cstheme="majorHAnsi"/>
          <w:sz w:val="22"/>
          <w:szCs w:val="22"/>
        </w:rPr>
      </w:pPr>
      <w:bookmarkStart w:id="15" w:name="_Toc234920351"/>
      <w:r w:rsidRPr="00B829C8">
        <w:rPr>
          <w:rFonts w:asciiTheme="majorHAnsi" w:hAnsiTheme="majorHAnsi" w:cstheme="majorHAnsi"/>
          <w:sz w:val="22"/>
          <w:szCs w:val="22"/>
        </w:rPr>
        <w:t>General</w:t>
      </w:r>
      <w:bookmarkEnd w:id="15"/>
    </w:p>
    <w:p w14:paraId="6C7AF536" w14:textId="591E768F" w:rsidR="00D077D9" w:rsidRPr="00B829C8" w:rsidRDefault="1243538F" w:rsidP="00CD0C90">
      <w:pPr>
        <w:pStyle w:val="Prrafodelista"/>
        <w:ind w:left="0"/>
        <w:jc w:val="both"/>
        <w:rPr>
          <w:rFonts w:asciiTheme="majorHAnsi" w:hAnsiTheme="majorHAnsi" w:cstheme="majorHAnsi"/>
        </w:rPr>
      </w:pPr>
      <w:r w:rsidRPr="00B829C8">
        <w:rPr>
          <w:rFonts w:asciiTheme="majorHAnsi" w:hAnsiTheme="majorHAnsi" w:cstheme="majorHAnsi"/>
        </w:rPr>
        <w:t>Evaluar cómo el análisis estratégico legislativo condiciona la relación entre el Ministerio de Minas y Energía y el Congreso de la República, con el fin de identificar una estrategia institucional que fortalezca dicha relación y contribuya a acelerar la formulación de la política de transición energética justa.</w:t>
      </w:r>
    </w:p>
    <w:p w14:paraId="28E2FDB6" w14:textId="00B73753" w:rsidR="00D077D9" w:rsidRPr="00B829C8" w:rsidRDefault="1243538F" w:rsidP="00CD0C90">
      <w:pPr>
        <w:pStyle w:val="Ttulo3"/>
        <w:spacing w:line="276" w:lineRule="auto"/>
        <w:rPr>
          <w:rFonts w:asciiTheme="majorHAnsi" w:hAnsiTheme="majorHAnsi" w:cstheme="majorHAnsi"/>
          <w:sz w:val="22"/>
          <w:szCs w:val="22"/>
        </w:rPr>
      </w:pPr>
      <w:bookmarkStart w:id="16" w:name="_Toc234920352"/>
      <w:r w:rsidRPr="00B829C8">
        <w:rPr>
          <w:rFonts w:asciiTheme="majorHAnsi" w:hAnsiTheme="majorHAnsi" w:cstheme="majorHAnsi"/>
          <w:sz w:val="22"/>
          <w:szCs w:val="22"/>
        </w:rPr>
        <w:t>Específicos</w:t>
      </w:r>
      <w:bookmarkEnd w:id="16"/>
    </w:p>
    <w:p w14:paraId="39430570" w14:textId="77777777" w:rsidR="008A3904" w:rsidRPr="00B829C8" w:rsidRDefault="00504E8E" w:rsidP="008A3904">
      <w:pPr>
        <w:pStyle w:val="Prrafodelista"/>
        <w:numPr>
          <w:ilvl w:val="0"/>
          <w:numId w:val="68"/>
        </w:numPr>
        <w:jc w:val="both"/>
        <w:rPr>
          <w:rFonts w:asciiTheme="majorHAnsi" w:hAnsiTheme="majorHAnsi" w:cstheme="majorHAnsi"/>
        </w:rPr>
      </w:pPr>
      <w:r w:rsidRPr="00B829C8">
        <w:rPr>
          <w:rFonts w:asciiTheme="majorHAnsi" w:hAnsiTheme="majorHAnsi" w:cstheme="majorHAnsi"/>
        </w:rPr>
        <w:t>Examinar la relación entre el Ministerio de Minas y Energía y el Congreso de la República en el impulso de la política de transición energética justa, teniendo en cuenta su grado de institucionalización y la presencia de vínculos personalistas.</w:t>
      </w:r>
    </w:p>
    <w:p w14:paraId="4DBAFADD" w14:textId="6A0ABEB5" w:rsidR="0013501D" w:rsidRPr="00B829C8" w:rsidRDefault="0013501D" w:rsidP="008A3904">
      <w:pPr>
        <w:pStyle w:val="Prrafodelista"/>
        <w:numPr>
          <w:ilvl w:val="0"/>
          <w:numId w:val="68"/>
        </w:numPr>
        <w:jc w:val="both"/>
        <w:rPr>
          <w:rFonts w:asciiTheme="majorHAnsi" w:hAnsiTheme="majorHAnsi" w:cstheme="majorHAnsi"/>
        </w:rPr>
      </w:pPr>
      <w:r w:rsidRPr="00B829C8">
        <w:rPr>
          <w:rFonts w:asciiTheme="majorHAnsi" w:hAnsiTheme="majorHAnsi" w:cstheme="majorHAnsi"/>
        </w:rPr>
        <w:t>Recopilar y examinar sistemáticamente las solicitudes de información y las proposiciones de control político formuladas por el Congreso de la República al Ministerio de Minas y Energía durante el último cuatrienio (2022–2026)</w:t>
      </w:r>
      <w:r w:rsidRPr="00B829C8">
        <w:rPr>
          <w:rFonts w:asciiTheme="majorHAnsi" w:hAnsiTheme="majorHAnsi" w:cstheme="majorHAnsi"/>
        </w:rPr>
        <w:t>.</w:t>
      </w:r>
    </w:p>
    <w:p w14:paraId="6E6F0B96" w14:textId="7E6DC395" w:rsidR="0013501D" w:rsidRPr="00B829C8" w:rsidRDefault="0013501D" w:rsidP="008A3904">
      <w:pPr>
        <w:pStyle w:val="Prrafodelista"/>
        <w:numPr>
          <w:ilvl w:val="0"/>
          <w:numId w:val="68"/>
        </w:numPr>
        <w:jc w:val="both"/>
        <w:rPr>
          <w:rFonts w:asciiTheme="majorHAnsi" w:hAnsiTheme="majorHAnsi" w:cstheme="majorHAnsi"/>
        </w:rPr>
      </w:pPr>
      <w:r w:rsidRPr="00B829C8">
        <w:rPr>
          <w:rFonts w:asciiTheme="majorHAnsi" w:hAnsiTheme="majorHAnsi" w:cstheme="majorHAnsi"/>
        </w:rPr>
        <w:t>Describir y analizar los imaginarios y percepciones que tienen las entidades del sector minero</w:t>
      </w:r>
      <w:r w:rsidRPr="00B829C8">
        <w:rPr>
          <w:rFonts w:ascii="Cambria Math" w:hAnsi="Cambria Math" w:cs="Cambria Math"/>
        </w:rPr>
        <w:t>‑</w:t>
      </w:r>
      <w:r w:rsidRPr="00B829C8">
        <w:rPr>
          <w:rFonts w:asciiTheme="majorHAnsi" w:hAnsiTheme="majorHAnsi" w:cstheme="majorHAnsi"/>
        </w:rPr>
        <w:t>energ</w:t>
      </w:r>
      <w:r w:rsidRPr="00B829C8">
        <w:t>é</w:t>
      </w:r>
      <w:r w:rsidRPr="00B829C8">
        <w:rPr>
          <w:rFonts w:asciiTheme="majorHAnsi" w:hAnsiTheme="majorHAnsi" w:cstheme="majorHAnsi"/>
        </w:rPr>
        <w:t>tico sobre su relaci</w:t>
      </w:r>
      <w:r w:rsidRPr="00B829C8">
        <w:t>ó</w:t>
      </w:r>
      <w:r w:rsidRPr="00B829C8">
        <w:rPr>
          <w:rFonts w:asciiTheme="majorHAnsi" w:hAnsiTheme="majorHAnsi" w:cstheme="majorHAnsi"/>
        </w:rPr>
        <w:t>n con el Congreso</w:t>
      </w:r>
      <w:r w:rsidR="000F561E" w:rsidRPr="00B829C8">
        <w:rPr>
          <w:rFonts w:asciiTheme="majorHAnsi" w:hAnsiTheme="majorHAnsi" w:cstheme="majorHAnsi"/>
        </w:rPr>
        <w:t>.</w:t>
      </w:r>
    </w:p>
    <w:p w14:paraId="055BCA71" w14:textId="53F51D8B" w:rsidR="008A3904" w:rsidRPr="00B829C8" w:rsidRDefault="008A3904" w:rsidP="008A3904">
      <w:pPr>
        <w:pStyle w:val="Prrafodelista"/>
        <w:numPr>
          <w:ilvl w:val="0"/>
          <w:numId w:val="68"/>
        </w:numPr>
        <w:jc w:val="both"/>
        <w:rPr>
          <w:rFonts w:asciiTheme="majorHAnsi" w:hAnsiTheme="majorHAnsi" w:cstheme="majorHAnsi"/>
        </w:rPr>
      </w:pPr>
      <w:r w:rsidRPr="00B829C8">
        <w:rPr>
          <w:rFonts w:asciiTheme="majorHAnsi" w:hAnsiTheme="majorHAnsi" w:cstheme="majorHAnsi"/>
        </w:rPr>
        <w:t>Diseñar una propuesta de estrategia institucional de relacionamiento legislativo para el Ministerio de Minas y Energía</w:t>
      </w:r>
      <w:r w:rsidR="000F561E" w:rsidRPr="00B829C8">
        <w:rPr>
          <w:rFonts w:asciiTheme="majorHAnsi" w:hAnsiTheme="majorHAnsi" w:cstheme="majorHAnsi"/>
        </w:rPr>
        <w:t>.</w:t>
      </w:r>
    </w:p>
    <w:p w14:paraId="75EF9547" w14:textId="310E4FBC" w:rsidR="00D077D9" w:rsidRPr="00B829C8" w:rsidRDefault="4293E694" w:rsidP="00CD0C90">
      <w:pPr>
        <w:pStyle w:val="Ttulo1"/>
        <w:spacing w:line="276" w:lineRule="auto"/>
        <w:rPr>
          <w:rFonts w:asciiTheme="majorHAnsi" w:hAnsiTheme="majorHAnsi" w:cstheme="majorHAnsi"/>
          <w:sz w:val="22"/>
          <w:szCs w:val="22"/>
        </w:rPr>
      </w:pPr>
      <w:bookmarkStart w:id="17" w:name="_Hlk234918902"/>
      <w:bookmarkStart w:id="18" w:name="_Toc234920353"/>
      <w:bookmarkEnd w:id="13"/>
      <w:r w:rsidRPr="00B829C8">
        <w:rPr>
          <w:rFonts w:asciiTheme="majorHAnsi" w:hAnsiTheme="majorHAnsi" w:cstheme="majorHAnsi"/>
          <w:sz w:val="22"/>
          <w:szCs w:val="22"/>
        </w:rPr>
        <w:t>Metodología</w:t>
      </w:r>
      <w:bookmarkEnd w:id="18"/>
    </w:p>
    <w:p w14:paraId="3B8E8805" w14:textId="58B0C87E" w:rsidR="00D077D9" w:rsidRPr="00B829C8" w:rsidRDefault="7B484E80" w:rsidP="00CD0C90">
      <w:pPr>
        <w:pStyle w:val="Prrafodelista"/>
        <w:ind w:left="0"/>
        <w:jc w:val="both"/>
        <w:rPr>
          <w:rFonts w:asciiTheme="majorHAnsi" w:hAnsiTheme="majorHAnsi" w:cstheme="majorHAnsi"/>
        </w:rPr>
      </w:pPr>
      <w:r w:rsidRPr="00B829C8">
        <w:rPr>
          <w:rFonts w:asciiTheme="majorHAnsi" w:hAnsiTheme="majorHAnsi" w:cstheme="majorHAnsi"/>
        </w:rPr>
        <w:t>La investigación es un estudio de carácter cualitativo, exploratorio y descriptivo para comprender en profundidad las dinámicas institucionales, las percepciones de los actores y las debilidades del análisis estratégico desde la perspectiva del Ministerio, divid</w:t>
      </w:r>
      <w:r w:rsidR="3D54507F" w:rsidRPr="00B829C8">
        <w:rPr>
          <w:rFonts w:asciiTheme="majorHAnsi" w:hAnsiTheme="majorHAnsi" w:cstheme="majorHAnsi"/>
        </w:rPr>
        <w:t>ido</w:t>
      </w:r>
      <w:r w:rsidRPr="00B829C8">
        <w:rPr>
          <w:rFonts w:asciiTheme="majorHAnsi" w:hAnsiTheme="majorHAnsi" w:cstheme="majorHAnsi"/>
        </w:rPr>
        <w:t xml:space="preserve"> en tres etapas:</w:t>
      </w:r>
    </w:p>
    <w:p w14:paraId="3438366F" w14:textId="68754CAE" w:rsidR="00D077D9" w:rsidRPr="00B829C8" w:rsidRDefault="00D077D9" w:rsidP="00CD0C90">
      <w:pPr>
        <w:pStyle w:val="Prrafodelista"/>
        <w:ind w:left="0"/>
        <w:jc w:val="both"/>
        <w:rPr>
          <w:rFonts w:asciiTheme="majorHAnsi" w:hAnsiTheme="majorHAnsi" w:cstheme="majorHAnsi"/>
        </w:rPr>
      </w:pPr>
    </w:p>
    <w:p w14:paraId="49A9A1B2" w14:textId="2FC63741" w:rsidR="00D077D9" w:rsidRPr="00B829C8" w:rsidRDefault="7B484E80" w:rsidP="00CD0C90">
      <w:pPr>
        <w:pStyle w:val="Prrafodelista"/>
        <w:ind w:left="0"/>
        <w:jc w:val="both"/>
        <w:rPr>
          <w:rFonts w:asciiTheme="majorHAnsi" w:hAnsiTheme="majorHAnsi" w:cstheme="majorHAnsi"/>
        </w:rPr>
      </w:pPr>
      <w:r w:rsidRPr="00B829C8">
        <w:rPr>
          <w:rFonts w:asciiTheme="majorHAnsi" w:hAnsiTheme="majorHAnsi" w:cstheme="majorHAnsi"/>
        </w:rPr>
        <w:t>La primera etapa comprende una revisión documental para identificar los patrones de interacción entre Congreso y Ministerio de la siguiente manera:</w:t>
      </w:r>
    </w:p>
    <w:p w14:paraId="78EF1C4A" w14:textId="3342470A" w:rsidR="00D077D9" w:rsidRPr="00B829C8" w:rsidRDefault="00D077D9" w:rsidP="00CD0C90">
      <w:pPr>
        <w:pStyle w:val="Prrafodelista"/>
        <w:ind w:left="0"/>
        <w:jc w:val="both"/>
        <w:rPr>
          <w:rFonts w:asciiTheme="majorHAnsi" w:hAnsiTheme="majorHAnsi" w:cstheme="majorHAnsi"/>
        </w:rPr>
      </w:pPr>
    </w:p>
    <w:p w14:paraId="00B31675" w14:textId="1AE49523" w:rsidR="0013501D" w:rsidRPr="00B829C8" w:rsidRDefault="0013501D" w:rsidP="0013501D">
      <w:pPr>
        <w:pStyle w:val="Prrafodelista"/>
        <w:numPr>
          <w:ilvl w:val="0"/>
          <w:numId w:val="3"/>
        </w:numPr>
        <w:ind w:left="450"/>
        <w:jc w:val="both"/>
        <w:rPr>
          <w:rFonts w:asciiTheme="majorHAnsi" w:hAnsiTheme="majorHAnsi" w:cstheme="majorHAnsi"/>
        </w:rPr>
      </w:pPr>
      <w:r w:rsidRPr="00B829C8">
        <w:rPr>
          <w:rFonts w:asciiTheme="majorHAnsi" w:hAnsiTheme="majorHAnsi" w:cstheme="majorHAnsi"/>
        </w:rPr>
        <w:lastRenderedPageBreak/>
        <w:t>Descripción y análisis de la estrategia de relacionamiento legislativo del Grupo de Asuntos legislativos del Ministerio de Minas y Energía</w:t>
      </w:r>
      <w:r w:rsidR="003F2617" w:rsidRPr="00B829C8">
        <w:rPr>
          <w:rFonts w:asciiTheme="majorHAnsi" w:hAnsiTheme="majorHAnsi" w:cstheme="majorHAnsi"/>
        </w:rPr>
        <w:t xml:space="preserve">, </w:t>
      </w:r>
      <w:r w:rsidR="003F2617" w:rsidRPr="00B829C8">
        <w:rPr>
          <w:rFonts w:asciiTheme="majorHAnsi" w:hAnsiTheme="majorHAnsi" w:cstheme="majorHAnsi"/>
        </w:rPr>
        <w:t>reconstruyendo sus procedimientos, registro y prácticas de análisis legislativo a partir de documentos internos y normativos sectoriales.</w:t>
      </w:r>
    </w:p>
    <w:p w14:paraId="011EAA0D" w14:textId="615B0406" w:rsidR="0013501D" w:rsidRPr="00B829C8" w:rsidRDefault="0013501D" w:rsidP="0013501D">
      <w:pPr>
        <w:pStyle w:val="Prrafodelista"/>
        <w:numPr>
          <w:ilvl w:val="0"/>
          <w:numId w:val="3"/>
        </w:numPr>
        <w:ind w:left="450"/>
        <w:jc w:val="both"/>
        <w:rPr>
          <w:rFonts w:asciiTheme="majorHAnsi" w:hAnsiTheme="majorHAnsi" w:cstheme="majorHAnsi"/>
        </w:rPr>
      </w:pPr>
      <w:r w:rsidRPr="00B829C8">
        <w:rPr>
          <w:rFonts w:asciiTheme="majorHAnsi" w:hAnsiTheme="majorHAnsi" w:cstheme="majorHAnsi"/>
        </w:rPr>
        <w:t xml:space="preserve">Análisis comparado con casos de países latinoamericanos, con énfasis en mecanismos de relacionamiento entre el ejecutivo y el legislativo en </w:t>
      </w:r>
      <w:r w:rsidRPr="00B829C8">
        <w:rPr>
          <w:rFonts w:asciiTheme="majorHAnsi" w:hAnsiTheme="majorHAnsi" w:cstheme="majorHAnsi"/>
        </w:rPr>
        <w:t xml:space="preserve">materia de </w:t>
      </w:r>
      <w:r w:rsidRPr="00B829C8">
        <w:rPr>
          <w:rFonts w:asciiTheme="majorHAnsi" w:hAnsiTheme="majorHAnsi" w:cstheme="majorHAnsi"/>
        </w:rPr>
        <w:t>política energética.</w:t>
      </w:r>
    </w:p>
    <w:p w14:paraId="0E71568D" w14:textId="1A9816DA" w:rsidR="00D077D9" w:rsidRPr="00B829C8" w:rsidRDefault="7B484E80" w:rsidP="00CD0C90">
      <w:pPr>
        <w:pStyle w:val="Prrafodelista"/>
        <w:numPr>
          <w:ilvl w:val="0"/>
          <w:numId w:val="3"/>
        </w:numPr>
        <w:ind w:left="450"/>
        <w:jc w:val="both"/>
        <w:rPr>
          <w:rFonts w:asciiTheme="majorHAnsi" w:hAnsiTheme="majorHAnsi" w:cstheme="majorHAnsi"/>
        </w:rPr>
      </w:pPr>
      <w:r w:rsidRPr="00B829C8">
        <w:rPr>
          <w:rFonts w:asciiTheme="majorHAnsi" w:hAnsiTheme="majorHAnsi" w:cstheme="majorHAnsi"/>
        </w:rPr>
        <w:t>Recopilación y análisis sistemático de documentos oficiales de los últimos 4 años (2022-2026), incluyendo proyectos de ley relacionados con transición energética, actas de debates en el Congreso, informes, respuestas a solicitudes de información (derecho de petición), audiencias públicas y minutas de comisiones (Quinta y Sexta del Senado y Cámara).</w:t>
      </w:r>
    </w:p>
    <w:p w14:paraId="467DCF08" w14:textId="0DE760D5" w:rsidR="003F2617" w:rsidRPr="00B829C8" w:rsidRDefault="7B484E80" w:rsidP="003F2617">
      <w:pPr>
        <w:pStyle w:val="Prrafodelista"/>
        <w:numPr>
          <w:ilvl w:val="0"/>
          <w:numId w:val="3"/>
        </w:numPr>
        <w:ind w:left="450"/>
        <w:jc w:val="both"/>
        <w:rPr>
          <w:rFonts w:asciiTheme="majorHAnsi" w:hAnsiTheme="majorHAnsi" w:cstheme="majorHAnsi"/>
        </w:rPr>
      </w:pPr>
      <w:r w:rsidRPr="00B829C8">
        <w:rPr>
          <w:rFonts w:asciiTheme="majorHAnsi" w:hAnsiTheme="majorHAnsi" w:cstheme="majorHAnsi"/>
        </w:rPr>
        <w:t>Identificación de patrones de interacción</w:t>
      </w:r>
      <w:r w:rsidR="003F2617" w:rsidRPr="00B829C8">
        <w:rPr>
          <w:rFonts w:asciiTheme="majorHAnsi" w:hAnsiTheme="majorHAnsi" w:cstheme="majorHAnsi"/>
        </w:rPr>
        <w:t xml:space="preserve"> ejecutivo-legislativo</w:t>
      </w:r>
      <w:r w:rsidRPr="00B829C8">
        <w:rPr>
          <w:rFonts w:asciiTheme="majorHAnsi" w:hAnsiTheme="majorHAnsi" w:cstheme="majorHAnsi"/>
        </w:rPr>
        <w:t>: frecuencia de iniciativas, tasas de aprobación/rechazo, temas recurrentes y evidencia de coordinación estratégica.</w:t>
      </w:r>
    </w:p>
    <w:p w14:paraId="6AF3014D" w14:textId="7BB80FCF" w:rsidR="00D077D9" w:rsidRPr="00B829C8" w:rsidRDefault="00D077D9" w:rsidP="00CD0C90">
      <w:pPr>
        <w:pStyle w:val="Prrafodelista"/>
        <w:ind w:left="0"/>
        <w:jc w:val="both"/>
        <w:rPr>
          <w:rFonts w:asciiTheme="majorHAnsi" w:hAnsiTheme="majorHAnsi" w:cstheme="majorHAnsi"/>
        </w:rPr>
      </w:pPr>
    </w:p>
    <w:p w14:paraId="52E8781D" w14:textId="6080241E" w:rsidR="00D077D9" w:rsidRPr="00B829C8" w:rsidRDefault="7B484E80" w:rsidP="00CD0C90">
      <w:pPr>
        <w:pStyle w:val="Prrafodelista"/>
        <w:ind w:left="0"/>
        <w:jc w:val="both"/>
        <w:rPr>
          <w:rFonts w:asciiTheme="majorHAnsi" w:hAnsiTheme="majorHAnsi" w:cstheme="majorHAnsi"/>
        </w:rPr>
      </w:pPr>
      <w:r w:rsidRPr="00B829C8">
        <w:rPr>
          <w:rFonts w:asciiTheme="majorHAnsi" w:hAnsiTheme="majorHAnsi" w:cstheme="majorHAnsi"/>
        </w:rPr>
        <w:t>La segunda etapa tiene como fin conocer la perspectiva de los actores principales sobre el problema de investigación para explorar experiencias prácticas, obstáculos y propuestas de mejora, y se desarrollará de la siguiente manera:</w:t>
      </w:r>
    </w:p>
    <w:p w14:paraId="5491095D" w14:textId="08C5DD53" w:rsidR="00D077D9" w:rsidRPr="00B829C8" w:rsidRDefault="00D077D9" w:rsidP="00CD0C90">
      <w:pPr>
        <w:pStyle w:val="Prrafodelista"/>
        <w:ind w:left="0"/>
        <w:jc w:val="both"/>
        <w:rPr>
          <w:rFonts w:asciiTheme="majorHAnsi" w:hAnsiTheme="majorHAnsi" w:cstheme="majorHAnsi"/>
        </w:rPr>
      </w:pPr>
    </w:p>
    <w:p w14:paraId="258C3528" w14:textId="564DA62A" w:rsidR="00D077D9" w:rsidRPr="00B829C8" w:rsidRDefault="7B484E80" w:rsidP="00CD0C90">
      <w:pPr>
        <w:pStyle w:val="Prrafodelista"/>
        <w:numPr>
          <w:ilvl w:val="0"/>
          <w:numId w:val="2"/>
        </w:numPr>
        <w:ind w:left="360" w:hanging="270"/>
        <w:jc w:val="both"/>
        <w:rPr>
          <w:rFonts w:asciiTheme="majorHAnsi" w:hAnsiTheme="majorHAnsi" w:cstheme="majorHAnsi"/>
        </w:rPr>
      </w:pPr>
      <w:r w:rsidRPr="00B829C8">
        <w:rPr>
          <w:rFonts w:asciiTheme="majorHAnsi" w:hAnsiTheme="majorHAnsi" w:cstheme="majorHAnsi"/>
        </w:rPr>
        <w:t>Entrevistas semiestructuradas a actores clave: funcionarios de alto y medio nivel de Ministerio de Energía, congresistas y asesores de las comisiones Quinta y Sexta o integrantes de Unidades Técnicas Legislativas (UTL).</w:t>
      </w:r>
    </w:p>
    <w:p w14:paraId="59A11966" w14:textId="6CA13EA6" w:rsidR="003F2617" w:rsidRPr="00B829C8" w:rsidRDefault="7B484E80" w:rsidP="003F2617">
      <w:pPr>
        <w:pStyle w:val="Prrafodelista"/>
        <w:numPr>
          <w:ilvl w:val="0"/>
          <w:numId w:val="2"/>
        </w:numPr>
        <w:ind w:left="360" w:hanging="270"/>
        <w:jc w:val="both"/>
        <w:rPr>
          <w:rFonts w:asciiTheme="majorHAnsi" w:hAnsiTheme="majorHAnsi" w:cstheme="majorHAnsi"/>
        </w:rPr>
      </w:pPr>
      <w:r w:rsidRPr="00B829C8">
        <w:rPr>
          <w:rFonts w:asciiTheme="majorHAnsi" w:hAnsiTheme="majorHAnsi" w:cstheme="majorHAnsi"/>
        </w:rPr>
        <w:t>Grupos focales con asesores del Ministerio involucrados en relacionamiento congresional, para explorar experiencias prácticas, obstáculos y propuestas de mejora.</w:t>
      </w:r>
    </w:p>
    <w:p w14:paraId="1693474F" w14:textId="77777777" w:rsidR="003F2617" w:rsidRPr="00B829C8" w:rsidRDefault="003F2617" w:rsidP="00CD0C90">
      <w:pPr>
        <w:pStyle w:val="Prrafodelista"/>
        <w:ind w:left="0"/>
        <w:jc w:val="both"/>
        <w:rPr>
          <w:rFonts w:asciiTheme="majorHAnsi" w:hAnsiTheme="majorHAnsi" w:cstheme="majorHAnsi"/>
        </w:rPr>
      </w:pPr>
    </w:p>
    <w:p w14:paraId="6AE7A457" w14:textId="52FAF8D5" w:rsidR="003F2617" w:rsidRPr="00B829C8" w:rsidRDefault="7B484E80" w:rsidP="003F2617">
      <w:pPr>
        <w:pStyle w:val="Prrafodelista"/>
        <w:ind w:left="0"/>
        <w:jc w:val="both"/>
        <w:rPr>
          <w:rFonts w:asciiTheme="majorHAnsi" w:hAnsiTheme="majorHAnsi" w:cstheme="majorHAnsi"/>
        </w:rPr>
      </w:pPr>
      <w:r w:rsidRPr="00B829C8">
        <w:rPr>
          <w:rFonts w:asciiTheme="majorHAnsi" w:hAnsiTheme="majorHAnsi" w:cstheme="majorHAnsi"/>
        </w:rPr>
        <w:t>Finalmente, la tercera etapa consistirá en el análisis de datos y la construcción de la propuesta</w:t>
      </w:r>
      <w:r w:rsidR="56058FE3" w:rsidRPr="00B829C8">
        <w:rPr>
          <w:rFonts w:asciiTheme="majorHAnsi" w:hAnsiTheme="majorHAnsi" w:cstheme="majorHAnsi"/>
        </w:rPr>
        <w:t xml:space="preserve"> </w:t>
      </w:r>
      <w:r w:rsidRPr="00B829C8">
        <w:rPr>
          <w:rFonts w:asciiTheme="majorHAnsi" w:hAnsiTheme="majorHAnsi" w:cstheme="majorHAnsi"/>
        </w:rPr>
        <w:t>de relacionamiento entre el Ministerio de Minas y Energía y el Congreso de la República</w:t>
      </w:r>
      <w:r w:rsidR="003F2617" w:rsidRPr="00B829C8">
        <w:rPr>
          <w:rFonts w:asciiTheme="majorHAnsi" w:hAnsiTheme="majorHAnsi" w:cstheme="majorHAnsi"/>
        </w:rPr>
        <w:t xml:space="preserve">. </w:t>
      </w:r>
      <w:r w:rsidR="003F2617" w:rsidRPr="00B829C8">
        <w:rPr>
          <w:rFonts w:asciiTheme="majorHAnsi" w:hAnsiTheme="majorHAnsi" w:cstheme="majorHAnsi"/>
        </w:rPr>
        <w:t>A partir de los resultados de las etapas anteriores, se realizará una integración analítica que permita:</w:t>
      </w:r>
    </w:p>
    <w:p w14:paraId="0128DE6C" w14:textId="77777777" w:rsidR="003F2617" w:rsidRPr="00B829C8" w:rsidRDefault="003F2617" w:rsidP="003F2617">
      <w:pPr>
        <w:pStyle w:val="Prrafodelista"/>
        <w:ind w:left="0"/>
        <w:jc w:val="both"/>
        <w:rPr>
          <w:rFonts w:asciiTheme="majorHAnsi" w:hAnsiTheme="majorHAnsi" w:cstheme="majorHAnsi"/>
        </w:rPr>
      </w:pPr>
    </w:p>
    <w:p w14:paraId="1EF6B673" w14:textId="02466DF5" w:rsidR="003F2617" w:rsidRPr="00B829C8" w:rsidRDefault="003F2617" w:rsidP="003F2617">
      <w:pPr>
        <w:pStyle w:val="Prrafodelista"/>
        <w:numPr>
          <w:ilvl w:val="0"/>
          <w:numId w:val="69"/>
        </w:numPr>
        <w:ind w:left="426"/>
        <w:jc w:val="both"/>
        <w:rPr>
          <w:rFonts w:asciiTheme="majorHAnsi" w:hAnsiTheme="majorHAnsi" w:cstheme="majorHAnsi"/>
        </w:rPr>
      </w:pPr>
      <w:r w:rsidRPr="00B829C8">
        <w:rPr>
          <w:rFonts w:asciiTheme="majorHAnsi" w:hAnsiTheme="majorHAnsi" w:cstheme="majorHAnsi"/>
        </w:rPr>
        <w:t>Articular los hallazgos documentales y las perspectivas de los actores en torno a las categorías de análisis definidas (dinámica de relacionamiento, articulación interinstitucional, análisis estratégico legislativo, transición energética justa).</w:t>
      </w:r>
    </w:p>
    <w:p w14:paraId="52C55BC4" w14:textId="1281BAC1" w:rsidR="003F2617" w:rsidRPr="00B829C8" w:rsidRDefault="003F2617" w:rsidP="003F2617">
      <w:pPr>
        <w:pStyle w:val="Prrafodelista"/>
        <w:numPr>
          <w:ilvl w:val="0"/>
          <w:numId w:val="69"/>
        </w:numPr>
        <w:ind w:left="426"/>
        <w:jc w:val="both"/>
        <w:rPr>
          <w:rFonts w:asciiTheme="majorHAnsi" w:hAnsiTheme="majorHAnsi" w:cstheme="majorHAnsi"/>
        </w:rPr>
      </w:pPr>
      <w:r w:rsidRPr="00B829C8">
        <w:rPr>
          <w:rFonts w:asciiTheme="majorHAnsi" w:hAnsiTheme="majorHAnsi" w:cstheme="majorHAnsi"/>
        </w:rPr>
        <w:t>Identificar vacíos, contradicciones y buenas prácticas en la estrategia de relacionamiento vigente.</w:t>
      </w:r>
    </w:p>
    <w:p w14:paraId="744417AC" w14:textId="135BD444" w:rsidR="003F2617" w:rsidRPr="00B829C8" w:rsidRDefault="003F2617" w:rsidP="003F2617">
      <w:pPr>
        <w:pStyle w:val="Prrafodelista"/>
        <w:numPr>
          <w:ilvl w:val="0"/>
          <w:numId w:val="69"/>
        </w:numPr>
        <w:ind w:left="426"/>
        <w:jc w:val="both"/>
        <w:rPr>
          <w:rFonts w:asciiTheme="majorHAnsi" w:hAnsiTheme="majorHAnsi" w:cstheme="majorHAnsi"/>
        </w:rPr>
      </w:pPr>
      <w:r w:rsidRPr="00B829C8">
        <w:rPr>
          <w:rFonts w:asciiTheme="majorHAnsi" w:hAnsiTheme="majorHAnsi" w:cstheme="majorHAnsi"/>
        </w:rPr>
        <w:t>Elaborar una propuesta de estrategia institucional de relacionamiento legislativo para el MME, que incluya lineamientos para el fortalecimiento del análisis estratégico legislativo, mecanismos de coordinación intrasectorial e intersectorial, y dispositivos de interacción con el Congreso orientados a acompañar de manera más coherente el desarrollo de la política de transición energética justa.</w:t>
      </w:r>
    </w:p>
    <w:p w14:paraId="4D6864E1" w14:textId="38F2DB3D" w:rsidR="003F2617" w:rsidRPr="00B829C8" w:rsidRDefault="003F2617" w:rsidP="00CD0C90">
      <w:pPr>
        <w:pStyle w:val="Prrafodelista"/>
        <w:ind w:left="0"/>
        <w:jc w:val="both"/>
        <w:rPr>
          <w:rFonts w:asciiTheme="majorHAnsi" w:hAnsiTheme="majorHAnsi" w:cstheme="majorHAnsi"/>
        </w:rPr>
      </w:pPr>
    </w:p>
    <w:p w14:paraId="57D18249" w14:textId="77777777" w:rsidR="003F2617" w:rsidRPr="00B829C8" w:rsidRDefault="003F2617" w:rsidP="00CD0C90">
      <w:pPr>
        <w:pStyle w:val="Prrafodelista"/>
        <w:ind w:left="0"/>
        <w:jc w:val="both"/>
        <w:rPr>
          <w:rFonts w:asciiTheme="majorHAnsi" w:hAnsiTheme="majorHAnsi" w:cstheme="majorHAnsi"/>
        </w:rPr>
      </w:pPr>
    </w:p>
    <w:p w14:paraId="095F75E4" w14:textId="268B0C58" w:rsidR="00D077D9" w:rsidRPr="00B829C8" w:rsidRDefault="00D077D9" w:rsidP="00CD0C90">
      <w:pPr>
        <w:pStyle w:val="Prrafodelista"/>
        <w:ind w:left="0"/>
        <w:jc w:val="both"/>
        <w:rPr>
          <w:rFonts w:asciiTheme="majorHAnsi" w:hAnsiTheme="majorHAnsi" w:cstheme="majorHAnsi"/>
        </w:rPr>
      </w:pPr>
    </w:p>
    <w:p w14:paraId="51BC63B1" w14:textId="6E501C92" w:rsidR="006919AE" w:rsidRPr="00B829C8" w:rsidRDefault="5B82F1A0" w:rsidP="00CD0C90">
      <w:pPr>
        <w:pStyle w:val="Ttulo1"/>
        <w:spacing w:line="276" w:lineRule="auto"/>
        <w:rPr>
          <w:rFonts w:asciiTheme="majorHAnsi" w:hAnsiTheme="majorHAnsi" w:cstheme="majorHAnsi"/>
          <w:sz w:val="22"/>
          <w:szCs w:val="22"/>
        </w:rPr>
      </w:pPr>
      <w:bookmarkStart w:id="19" w:name="_Toc234920354"/>
      <w:bookmarkEnd w:id="17"/>
      <w:r w:rsidRPr="00B829C8">
        <w:rPr>
          <w:rFonts w:asciiTheme="majorHAnsi" w:hAnsiTheme="majorHAnsi" w:cstheme="majorHAnsi"/>
          <w:sz w:val="22"/>
          <w:szCs w:val="22"/>
        </w:rPr>
        <w:lastRenderedPageBreak/>
        <w:t>Capítulo 1</w:t>
      </w:r>
      <w:r w:rsidR="00B829C8">
        <w:rPr>
          <w:rFonts w:asciiTheme="majorHAnsi" w:hAnsiTheme="majorHAnsi" w:cstheme="majorHAnsi"/>
          <w:sz w:val="22"/>
          <w:szCs w:val="22"/>
        </w:rPr>
        <w:t xml:space="preserve">. </w:t>
      </w:r>
      <w:r w:rsidR="00B829C8">
        <w:rPr>
          <w:rFonts w:asciiTheme="majorHAnsi" w:hAnsiTheme="majorHAnsi" w:cstheme="majorHAnsi"/>
        </w:rPr>
        <w:t>R</w:t>
      </w:r>
      <w:r w:rsidR="00B829C8" w:rsidRPr="00B829C8">
        <w:rPr>
          <w:rFonts w:asciiTheme="majorHAnsi" w:hAnsiTheme="majorHAnsi" w:cstheme="majorHAnsi"/>
        </w:rPr>
        <w:t>elación entre el Ministerio de Minas y Energía y el Congreso de la República</w:t>
      </w:r>
      <w:bookmarkEnd w:id="19"/>
    </w:p>
    <w:p w14:paraId="4A9274C7" w14:textId="3164DD89" w:rsidR="4CED5932" w:rsidRPr="00B829C8" w:rsidRDefault="4CED5932" w:rsidP="00CD0C90">
      <w:pPr>
        <w:jc w:val="both"/>
        <w:rPr>
          <w:rFonts w:asciiTheme="majorHAnsi" w:hAnsiTheme="majorHAnsi" w:cstheme="majorHAnsi"/>
        </w:rPr>
      </w:pPr>
      <w:r w:rsidRPr="00B829C8">
        <w:rPr>
          <w:rFonts w:asciiTheme="majorHAnsi" w:hAnsiTheme="majorHAnsi" w:cstheme="majorHAnsi"/>
        </w:rPr>
        <w:t>La relación actual entre el Ministerio de Minas y Energía y el Congreso de la República se caracteriza por una tensión constante entre la formalidad institucional y la informalidad de los vínculos personales. Este capítulo busca describir y analizar dicha relación, evidenciando hasta qué punto depende de contactos individuales, negociaciones coyunturales y dinámicas personalistas, más que de estructuras institucionales sólidas y permanentes. La caracterización de esta interacción permitirá comprender cómo la ausencia de un análisis estratégico legislativo robusto ha derivado en prácticas fragmentadas que limitan la capacidad del Ministerio para consolidar alianzas legislativas y avanzar en la política de transición energética justa.</w:t>
      </w:r>
    </w:p>
    <w:p w14:paraId="2E56CF68" w14:textId="171F9DEB" w:rsidR="00C13438" w:rsidRPr="00B829C8" w:rsidRDefault="00F51464" w:rsidP="00CD0C90">
      <w:pPr>
        <w:pStyle w:val="Ttulo2"/>
        <w:spacing w:line="276" w:lineRule="auto"/>
        <w:rPr>
          <w:rFonts w:asciiTheme="majorHAnsi" w:hAnsiTheme="majorHAnsi" w:cstheme="majorHAnsi"/>
          <w:sz w:val="22"/>
          <w:szCs w:val="22"/>
        </w:rPr>
      </w:pPr>
      <w:bookmarkStart w:id="20" w:name="_Toc234920355"/>
      <w:r w:rsidRPr="00B829C8">
        <w:rPr>
          <w:rFonts w:asciiTheme="majorHAnsi" w:hAnsiTheme="majorHAnsi" w:cstheme="majorHAnsi"/>
          <w:sz w:val="22"/>
          <w:szCs w:val="22"/>
        </w:rPr>
        <w:t>1.1 Caso colombiano</w:t>
      </w:r>
      <w:bookmarkEnd w:id="20"/>
    </w:p>
    <w:p w14:paraId="0B13C837" w14:textId="3F89BF6C" w:rsidR="00F51464" w:rsidRPr="00CD0C90" w:rsidRDefault="00F51464" w:rsidP="00CD0C90">
      <w:pPr>
        <w:pStyle w:val="Ttulo3"/>
        <w:spacing w:line="276" w:lineRule="auto"/>
        <w:rPr>
          <w:rFonts w:asciiTheme="majorHAnsi" w:hAnsiTheme="majorHAnsi" w:cstheme="majorHAnsi"/>
          <w:sz w:val="22"/>
          <w:szCs w:val="22"/>
          <w:lang w:val="es-ES"/>
        </w:rPr>
      </w:pPr>
      <w:bookmarkStart w:id="21" w:name="_Toc234920356"/>
      <w:r w:rsidRPr="00CD0C90">
        <w:rPr>
          <w:rFonts w:asciiTheme="majorHAnsi" w:hAnsiTheme="majorHAnsi" w:cstheme="majorHAnsi"/>
          <w:sz w:val="22"/>
          <w:szCs w:val="22"/>
          <w:lang w:val="es-ES"/>
        </w:rPr>
        <w:t>1.</w:t>
      </w:r>
      <w:r w:rsidR="004724DF" w:rsidRPr="00CD0C90">
        <w:rPr>
          <w:rFonts w:asciiTheme="majorHAnsi" w:hAnsiTheme="majorHAnsi" w:cstheme="majorHAnsi"/>
          <w:sz w:val="22"/>
          <w:szCs w:val="22"/>
          <w:lang w:val="es-ES"/>
        </w:rPr>
        <w:t>1.1</w:t>
      </w:r>
      <w:r w:rsidRPr="00CD0C90">
        <w:rPr>
          <w:rFonts w:asciiTheme="majorHAnsi" w:hAnsiTheme="majorHAnsi" w:cstheme="majorHAnsi"/>
          <w:sz w:val="22"/>
          <w:szCs w:val="22"/>
          <w:lang w:val="es-ES"/>
        </w:rPr>
        <w:t xml:space="preserve"> Contexto Institucional</w:t>
      </w:r>
      <w:bookmarkEnd w:id="21"/>
      <w:r w:rsidRPr="00CD0C90">
        <w:rPr>
          <w:rFonts w:asciiTheme="majorHAnsi" w:hAnsiTheme="majorHAnsi" w:cstheme="majorHAnsi"/>
          <w:sz w:val="22"/>
          <w:szCs w:val="22"/>
          <w:lang w:val="es-ES"/>
        </w:rPr>
        <w:t> </w:t>
      </w:r>
    </w:p>
    <w:p w14:paraId="31F9852B" w14:textId="01A58284" w:rsidR="000F3B98" w:rsidRPr="00CD0C90" w:rsidRDefault="00F51464"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El sistema político colombiano es un presidencialismo puro sin mecanismos formales de coalición</w:t>
      </w:r>
      <w:r w:rsidR="000F3B98" w:rsidRPr="00CD0C90">
        <w:rPr>
          <w:rFonts w:asciiTheme="majorHAnsi" w:hAnsiTheme="majorHAnsi" w:cstheme="majorHAnsi"/>
          <w:lang w:val="es-ES"/>
        </w:rPr>
        <w:t xml:space="preserve">, en el que coexisten cuatro fenómenos: (a) un sistema de pesos y contrapesos con mecanismos de rendición de cuentas horizontal poco desarrollados a nivel sectorial; (b) una fragmentación partidista creciente que multiplica los actores de veto; (c) unos costos de transacción legislativa elevados en el sector energético, verificables empíricamente en la tasa de archivo de proyectos; y (d) una relación de agencia entre el </w:t>
      </w:r>
      <w:r w:rsidR="001D4B0A" w:rsidRPr="00CD0C90">
        <w:rPr>
          <w:rFonts w:asciiTheme="majorHAnsi" w:hAnsiTheme="majorHAnsi" w:cstheme="majorHAnsi"/>
          <w:lang w:val="es-ES"/>
        </w:rPr>
        <w:t>ejecutivo</w:t>
      </w:r>
      <w:r w:rsidR="000F3B98" w:rsidRPr="00CD0C90">
        <w:rPr>
          <w:rFonts w:asciiTheme="majorHAnsi" w:hAnsiTheme="majorHAnsi" w:cstheme="majorHAnsi"/>
          <w:lang w:val="es-ES"/>
        </w:rPr>
        <w:t xml:space="preserve"> y el </w:t>
      </w:r>
      <w:r w:rsidR="001D4B0A" w:rsidRPr="00CD0C90">
        <w:rPr>
          <w:rFonts w:asciiTheme="majorHAnsi" w:hAnsiTheme="majorHAnsi" w:cstheme="majorHAnsi"/>
          <w:lang w:val="es-ES"/>
        </w:rPr>
        <w:t>legislativo</w:t>
      </w:r>
      <w:r w:rsidR="000F3B98" w:rsidRPr="00CD0C90">
        <w:rPr>
          <w:rFonts w:asciiTheme="majorHAnsi" w:hAnsiTheme="majorHAnsi" w:cstheme="majorHAnsi"/>
          <w:lang w:val="es-ES"/>
        </w:rPr>
        <w:t xml:space="preserve"> caracterizada por asimetrías de información y ausencia de mecanismos técnicos anticipatorios. </w:t>
      </w:r>
    </w:p>
    <w:p w14:paraId="60215AB9" w14:textId="25E37FCF" w:rsidR="000F3B98" w:rsidRPr="00CD0C90" w:rsidRDefault="000F3B98"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La Constitución del 1991 estableció un presidencialismo sin mecanismos formales de coalición de gobierno, en el que la formación de mayorías legislativas depende de negociaciones entre el </w:t>
      </w:r>
      <w:r w:rsidR="001D4B0A" w:rsidRPr="00CD0C90">
        <w:rPr>
          <w:rFonts w:asciiTheme="majorHAnsi" w:hAnsiTheme="majorHAnsi" w:cstheme="majorHAnsi"/>
          <w:lang w:val="es-ES"/>
        </w:rPr>
        <w:t>ejecutivo</w:t>
      </w:r>
      <w:r w:rsidRPr="00CD0C90">
        <w:rPr>
          <w:rFonts w:asciiTheme="majorHAnsi" w:hAnsiTheme="majorHAnsi" w:cstheme="majorHAnsi"/>
          <w:lang w:val="es-ES"/>
        </w:rPr>
        <w:t xml:space="preserve"> y las colectividades representadas en el Congreso. Si bien este esquema está basado en el principio clásico de separación y equilibrio de poderes de Montesquieu, el diseño de pesos y contrapesos solo garantiza la existencia formal de frenos institucionales, no asegura por sí mismo la capacidad de agencias estatales para supervisar, sancionar o corregir actuaciones ilegales o deficientes de otras agencias estatales (canales de accountability horizontal efectivo) (O'Donnell, 1998).</w:t>
      </w:r>
    </w:p>
    <w:p w14:paraId="4C7696D7" w14:textId="1E0B297B" w:rsidR="000F3B98" w:rsidRPr="00CD0C90" w:rsidRDefault="000F3B98"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En este contexto, la relación entre el Ministerio de Minas y Energía y el Congreso está marcada por el control político previsto en los artículos 135, 137, 138, 141 y 208 de la Ley 5 de 1992, que es la herramienta principal de accountability horizontal de la que dispone el legislativo frente al ejecutivo sectorial: la facultad de citar y requerir a los ministros para debates de control político y de emplazamiento (Congreso de la República, 1992). No obstante, la evidencia empírica sugiere que este mecanismo también se ha convertido en un instrumento de visibilización política y desgaste comunicacional, e incluso, como </w:t>
      </w:r>
      <w:r w:rsidR="005D2615" w:rsidRPr="00CD0C90">
        <w:rPr>
          <w:rFonts w:asciiTheme="majorHAnsi" w:hAnsiTheme="majorHAnsi" w:cstheme="majorHAnsi"/>
          <w:lang w:val="es-ES"/>
        </w:rPr>
        <w:t>mecanismo</w:t>
      </w:r>
      <w:r w:rsidRPr="00CD0C90">
        <w:rPr>
          <w:rFonts w:asciiTheme="majorHAnsi" w:hAnsiTheme="majorHAnsi" w:cstheme="majorHAnsi"/>
          <w:lang w:val="es-ES"/>
        </w:rPr>
        <w:t xml:space="preserve"> de negociación </w:t>
      </w:r>
      <w:r w:rsidR="005D2615" w:rsidRPr="00CD0C90">
        <w:rPr>
          <w:rFonts w:asciiTheme="majorHAnsi" w:hAnsiTheme="majorHAnsi" w:cstheme="majorHAnsi"/>
          <w:lang w:val="es-ES"/>
        </w:rPr>
        <w:t>para crear</w:t>
      </w:r>
      <w:r w:rsidRPr="00CD0C90">
        <w:rPr>
          <w:rFonts w:asciiTheme="majorHAnsi" w:hAnsiTheme="majorHAnsi" w:cstheme="majorHAnsi"/>
          <w:lang w:val="es-ES"/>
        </w:rPr>
        <w:t xml:space="preserve"> acuerdos vinculantes sobre la agenda regulatoria energética.</w:t>
      </w:r>
    </w:p>
    <w:p w14:paraId="7C85963C" w14:textId="7B05C4AC" w:rsidR="000F3B98" w:rsidRPr="00CD0C90" w:rsidRDefault="00005A98"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Sumado a lo anterior, e</w:t>
      </w:r>
      <w:r w:rsidR="000F3B98" w:rsidRPr="00CD0C90">
        <w:rPr>
          <w:rFonts w:asciiTheme="majorHAnsi" w:hAnsiTheme="majorHAnsi" w:cstheme="majorHAnsi"/>
          <w:lang w:val="es-ES"/>
        </w:rPr>
        <w:t xml:space="preserve">l </w:t>
      </w:r>
      <w:r w:rsidRPr="00CD0C90">
        <w:rPr>
          <w:rFonts w:asciiTheme="majorHAnsi" w:hAnsiTheme="majorHAnsi" w:cstheme="majorHAnsi"/>
          <w:lang w:val="es-ES"/>
        </w:rPr>
        <w:t>multipartidismo crea</w:t>
      </w:r>
      <w:r w:rsidR="000F3B98" w:rsidRPr="00CD0C90">
        <w:rPr>
          <w:rFonts w:asciiTheme="majorHAnsi" w:hAnsiTheme="majorHAnsi" w:cstheme="majorHAnsi"/>
          <w:lang w:val="es-ES"/>
        </w:rPr>
        <w:t xml:space="preserve"> un escenario en el que ninguna colectividad concentra por sí sola una mayoría operativa. En el Senado elegido para el período 2022-2026, el Pacto Histórico obtuvo </w:t>
      </w:r>
      <w:r w:rsidR="000F3B98" w:rsidRPr="00CD0C90">
        <w:rPr>
          <w:rFonts w:asciiTheme="majorHAnsi" w:hAnsiTheme="majorHAnsi" w:cstheme="majorHAnsi"/>
          <w:lang w:val="es-ES"/>
        </w:rPr>
        <w:lastRenderedPageBreak/>
        <w:t>la primera minoría con aproximadamente 25 % de los escaños, seguido por el Centro Democrático con 20 %, mientras el resto se dispersó entre partidos de centro y derecha sin cohesión programática estable (Registraduría Nacional del Estado Civil, 2022)</w:t>
      </w:r>
      <w:r w:rsidRPr="00CD0C90">
        <w:rPr>
          <w:rFonts w:asciiTheme="majorHAnsi" w:hAnsiTheme="majorHAnsi" w:cstheme="majorHAnsi"/>
          <w:lang w:val="es-ES"/>
        </w:rPr>
        <w:t xml:space="preserve">, lo que aumenta </w:t>
      </w:r>
      <w:r w:rsidR="000F3B98" w:rsidRPr="00CD0C90">
        <w:rPr>
          <w:rFonts w:asciiTheme="majorHAnsi" w:hAnsiTheme="majorHAnsi" w:cstheme="majorHAnsi"/>
          <w:lang w:val="es-ES"/>
        </w:rPr>
        <w:t>el número de interlocutores con quienes el MME debe negociar individualmente, incrementando el costo de coordinación de cualquier iniciativa.</w:t>
      </w:r>
    </w:p>
    <w:p w14:paraId="2BE17DB9" w14:textId="4C368AE0" w:rsidR="000F3B98" w:rsidRPr="00CD0C90" w:rsidRDefault="00005A98"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En</w:t>
      </w:r>
      <w:r w:rsidR="000F3B98" w:rsidRPr="00CD0C90">
        <w:rPr>
          <w:rFonts w:asciiTheme="majorHAnsi" w:hAnsiTheme="majorHAnsi" w:cstheme="majorHAnsi"/>
          <w:lang w:val="es-ES"/>
        </w:rPr>
        <w:t xml:space="preserve"> el período 2022-2026 </w:t>
      </w:r>
      <w:r w:rsidRPr="00CD0C90">
        <w:rPr>
          <w:rFonts w:asciiTheme="majorHAnsi" w:hAnsiTheme="majorHAnsi" w:cstheme="majorHAnsi"/>
          <w:lang w:val="es-ES"/>
        </w:rPr>
        <w:t xml:space="preserve">la actividad del MME </w:t>
      </w:r>
      <w:r w:rsidR="000F3B98" w:rsidRPr="00CD0C90">
        <w:rPr>
          <w:rFonts w:asciiTheme="majorHAnsi" w:hAnsiTheme="majorHAnsi" w:cstheme="majorHAnsi"/>
          <w:lang w:val="es-ES"/>
        </w:rPr>
        <w:t xml:space="preserve">se </w:t>
      </w:r>
      <w:r w:rsidRPr="00CD0C90">
        <w:rPr>
          <w:rFonts w:asciiTheme="majorHAnsi" w:hAnsiTheme="majorHAnsi" w:cstheme="majorHAnsi"/>
          <w:lang w:val="es-ES"/>
        </w:rPr>
        <w:t>vio inmersa en dos escenarios:</w:t>
      </w:r>
      <w:r w:rsidR="000F3B98" w:rsidRPr="00CD0C90">
        <w:rPr>
          <w:rFonts w:asciiTheme="majorHAnsi" w:hAnsiTheme="majorHAnsi" w:cstheme="majorHAnsi"/>
          <w:lang w:val="es-ES"/>
        </w:rPr>
        <w:t xml:space="preserve"> un </w:t>
      </w:r>
      <w:r w:rsidRPr="00CD0C90">
        <w:rPr>
          <w:rFonts w:asciiTheme="majorHAnsi" w:hAnsiTheme="majorHAnsi" w:cstheme="majorHAnsi"/>
          <w:lang w:val="es-ES"/>
        </w:rPr>
        <w:t>e</w:t>
      </w:r>
      <w:r w:rsidR="000F3B98" w:rsidRPr="00CD0C90">
        <w:rPr>
          <w:rFonts w:asciiTheme="majorHAnsi" w:hAnsiTheme="majorHAnsi" w:cstheme="majorHAnsi"/>
          <w:lang w:val="es-ES"/>
        </w:rPr>
        <w:t>jecutivo de tipo "nacional"</w:t>
      </w:r>
      <w:r w:rsidRPr="00CD0C90">
        <w:rPr>
          <w:rFonts w:asciiTheme="majorHAnsi" w:hAnsiTheme="majorHAnsi" w:cstheme="majorHAnsi"/>
          <w:lang w:val="es-ES"/>
        </w:rPr>
        <w:t xml:space="preserve"> con </w:t>
      </w:r>
      <w:r w:rsidR="000F3B98" w:rsidRPr="00CD0C90">
        <w:rPr>
          <w:rFonts w:asciiTheme="majorHAnsi" w:hAnsiTheme="majorHAnsi" w:cstheme="majorHAnsi"/>
          <w:lang w:val="es-ES"/>
        </w:rPr>
        <w:t>una agenda programática de transición energética</w:t>
      </w:r>
      <w:r w:rsidRPr="00CD0C90">
        <w:rPr>
          <w:rFonts w:asciiTheme="majorHAnsi" w:hAnsiTheme="majorHAnsi" w:cstheme="majorHAnsi"/>
          <w:lang w:val="es-ES"/>
        </w:rPr>
        <w:t xml:space="preserve">, </w:t>
      </w:r>
      <w:r w:rsidR="000F3B98" w:rsidRPr="00CD0C90">
        <w:rPr>
          <w:rFonts w:asciiTheme="majorHAnsi" w:hAnsiTheme="majorHAnsi" w:cstheme="majorHAnsi"/>
          <w:lang w:val="es-ES"/>
        </w:rPr>
        <w:t>frente a un</w:t>
      </w:r>
      <w:r w:rsidRPr="00CD0C90">
        <w:rPr>
          <w:rFonts w:asciiTheme="majorHAnsi" w:hAnsiTheme="majorHAnsi" w:cstheme="majorHAnsi"/>
          <w:lang w:val="es-ES"/>
        </w:rPr>
        <w:t xml:space="preserve"> Congreso </w:t>
      </w:r>
      <w:r w:rsidR="000F3B98" w:rsidRPr="00CD0C90">
        <w:rPr>
          <w:rFonts w:asciiTheme="majorHAnsi" w:hAnsiTheme="majorHAnsi" w:cstheme="majorHAnsi"/>
          <w:lang w:val="es-ES"/>
        </w:rPr>
        <w:t>tipo "negociador", cuyos miembros condicionan su respaldo a compensaciones distributivas específicas antes que a acuerdos programáticos de largo plazo (Puyana, 2008). Esta combinación produce, siguiendo a Cox y Morgenstern</w:t>
      </w:r>
      <w:r w:rsidRPr="00CD0C90">
        <w:rPr>
          <w:rFonts w:asciiTheme="majorHAnsi" w:hAnsiTheme="majorHAnsi" w:cstheme="majorHAnsi"/>
          <w:lang w:val="es-ES"/>
        </w:rPr>
        <w:t xml:space="preserve"> (1998, en Puyana, 2008)</w:t>
      </w:r>
      <w:r w:rsidR="000F3B98" w:rsidRPr="00CD0C90">
        <w:rPr>
          <w:rFonts w:asciiTheme="majorHAnsi" w:hAnsiTheme="majorHAnsi" w:cstheme="majorHAnsi"/>
          <w:lang w:val="es-ES"/>
        </w:rPr>
        <w:t xml:space="preserve">, una relación de "juego bilateral de vetos" en la que ninguna de las partes logra imponer unilateralmente su agenda, y en la que la ausencia de un aparato técnico permanente de relacionamiento legislativo impide </w:t>
      </w:r>
      <w:r w:rsidRPr="00CD0C90">
        <w:rPr>
          <w:rFonts w:asciiTheme="majorHAnsi" w:hAnsiTheme="majorHAnsi" w:cstheme="majorHAnsi"/>
          <w:lang w:val="es-ES"/>
        </w:rPr>
        <w:t>aprovechar</w:t>
      </w:r>
      <w:r w:rsidR="000F3B98" w:rsidRPr="00CD0C90">
        <w:rPr>
          <w:rFonts w:asciiTheme="majorHAnsi" w:hAnsiTheme="majorHAnsi" w:cstheme="majorHAnsi"/>
          <w:lang w:val="es-ES"/>
        </w:rPr>
        <w:t xml:space="preserve"> las ventanas de oportunidad que sí se generan coyunturalmente.</w:t>
      </w:r>
    </w:p>
    <w:p w14:paraId="04A0FADA" w14:textId="77777777" w:rsidR="000F3B98" w:rsidRPr="00CD0C90" w:rsidRDefault="000F3B98" w:rsidP="00CD0C90">
      <w:pPr>
        <w:pStyle w:val="Ttulo3"/>
        <w:spacing w:line="276" w:lineRule="auto"/>
        <w:rPr>
          <w:rFonts w:asciiTheme="majorHAnsi" w:hAnsiTheme="majorHAnsi" w:cstheme="majorHAnsi"/>
          <w:sz w:val="22"/>
          <w:szCs w:val="22"/>
          <w:lang w:val="es-ES"/>
        </w:rPr>
      </w:pPr>
      <w:bookmarkStart w:id="22" w:name="_Toc234920357"/>
      <w:r w:rsidRPr="00CD0C90">
        <w:rPr>
          <w:rFonts w:asciiTheme="majorHAnsi" w:hAnsiTheme="majorHAnsi" w:cstheme="majorHAnsi"/>
          <w:sz w:val="22"/>
          <w:szCs w:val="22"/>
          <w:lang w:val="es-ES"/>
        </w:rPr>
        <w:t>1.1.2 Costos de transacción, control político y gatekeeping legislativo en materia energética</w:t>
      </w:r>
      <w:bookmarkEnd w:id="22"/>
    </w:p>
    <w:p w14:paraId="11D63B6A" w14:textId="77777777" w:rsidR="00D97E59" w:rsidRPr="00CD0C90" w:rsidRDefault="000F3B98"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La teoría de los costos de transacción</w:t>
      </w:r>
      <w:r w:rsidR="00705597" w:rsidRPr="00CD0C90">
        <w:rPr>
          <w:rFonts w:asciiTheme="majorHAnsi" w:hAnsiTheme="majorHAnsi" w:cstheme="majorHAnsi"/>
          <w:lang w:val="es-ES"/>
        </w:rPr>
        <w:t xml:space="preserve"> (</w:t>
      </w:r>
      <w:r w:rsidRPr="00CD0C90">
        <w:rPr>
          <w:rFonts w:asciiTheme="majorHAnsi" w:hAnsiTheme="majorHAnsi" w:cstheme="majorHAnsi"/>
          <w:lang w:val="es-ES"/>
        </w:rPr>
        <w:t>North</w:t>
      </w:r>
      <w:r w:rsidR="00705597" w:rsidRPr="00CD0C90">
        <w:rPr>
          <w:rFonts w:asciiTheme="majorHAnsi" w:hAnsiTheme="majorHAnsi" w:cstheme="majorHAnsi"/>
          <w:lang w:val="es-ES"/>
        </w:rPr>
        <w:t xml:space="preserve">, </w:t>
      </w:r>
      <w:r w:rsidRPr="00CD0C90">
        <w:rPr>
          <w:rFonts w:asciiTheme="majorHAnsi" w:hAnsiTheme="majorHAnsi" w:cstheme="majorHAnsi"/>
          <w:lang w:val="es-ES"/>
        </w:rPr>
        <w:t xml:space="preserve">1990), </w:t>
      </w:r>
      <w:r w:rsidR="00705597" w:rsidRPr="00CD0C90">
        <w:rPr>
          <w:rFonts w:asciiTheme="majorHAnsi" w:hAnsiTheme="majorHAnsi" w:cstheme="majorHAnsi"/>
          <w:lang w:val="es-ES"/>
        </w:rPr>
        <w:t>plantea</w:t>
      </w:r>
      <w:r w:rsidRPr="00CD0C90">
        <w:rPr>
          <w:rFonts w:asciiTheme="majorHAnsi" w:hAnsiTheme="majorHAnsi" w:cstheme="majorHAnsi"/>
          <w:lang w:val="es-ES"/>
        </w:rPr>
        <w:t xml:space="preserve"> que las instituciones existen para reducir la incertidumbre y los costos de negociación, información y cumplimiento de los acuerdos entre actores con intereses parcialmente divergentes. Aplicada al ámbito de las políticas públicas, el Análisis Político de los Costos de Transacción (APCT) desarrollado por Spiller y Tommasi (2003, 2007) sostiene que la calidad y estabilidad de una política pública dependen de la capacidad de los actores políticos para celebrar "transacciones políticas" intertemporalmente creíbles, lo cual a su vez depende del número de actores con poder de veto, del horizonte temporal de los acuerdos y de la existencia de arenas institucionales que faciliten el cumplimiento de los compromisos.</w:t>
      </w:r>
    </w:p>
    <w:p w14:paraId="7DD34CA0" w14:textId="77777777" w:rsidR="00D97E59" w:rsidRPr="00CD0C90" w:rsidRDefault="00D97E59"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En la relación ejecutivo-legislativo existe un</w:t>
      </w:r>
      <w:r w:rsidR="000F3B98" w:rsidRPr="00CD0C90">
        <w:rPr>
          <w:rFonts w:asciiTheme="majorHAnsi" w:hAnsiTheme="majorHAnsi" w:cstheme="majorHAnsi"/>
          <w:lang w:val="es-ES"/>
        </w:rPr>
        <w:t>a ausencia de "tecnologías de compromiso" institucionalizadas</w:t>
      </w:r>
      <w:r w:rsidR="00705597" w:rsidRPr="00CD0C90">
        <w:rPr>
          <w:rFonts w:asciiTheme="majorHAnsi" w:hAnsiTheme="majorHAnsi" w:cstheme="majorHAnsi"/>
          <w:lang w:val="es-ES"/>
        </w:rPr>
        <w:t xml:space="preserve">, es decir, de </w:t>
      </w:r>
      <w:r w:rsidR="000F3B98" w:rsidRPr="00CD0C90">
        <w:rPr>
          <w:rFonts w:asciiTheme="majorHAnsi" w:hAnsiTheme="majorHAnsi" w:cstheme="majorHAnsi"/>
          <w:lang w:val="es-ES"/>
        </w:rPr>
        <w:t>oficinas técnicas permanentes de enlace legislativo, protocolos de negociación programática, sistemas de seguimiento de compromisos</w:t>
      </w:r>
      <w:r w:rsidR="00705597" w:rsidRPr="00CD0C90">
        <w:rPr>
          <w:rFonts w:asciiTheme="majorHAnsi" w:hAnsiTheme="majorHAnsi" w:cstheme="majorHAnsi"/>
          <w:lang w:val="es-ES"/>
        </w:rPr>
        <w:t>, entre otros, incrementa</w:t>
      </w:r>
      <w:r w:rsidR="000F3B98" w:rsidRPr="00CD0C90">
        <w:rPr>
          <w:rFonts w:asciiTheme="majorHAnsi" w:hAnsiTheme="majorHAnsi" w:cstheme="majorHAnsi"/>
          <w:lang w:val="es-ES"/>
        </w:rPr>
        <w:t xml:space="preserve"> los costos de transacción de cualquier reforma sectorial (Revista de Economía Institucional, 2003).</w:t>
      </w:r>
      <w:r w:rsidRPr="00CD0C90">
        <w:rPr>
          <w:rFonts w:asciiTheme="majorHAnsi" w:hAnsiTheme="majorHAnsi" w:cstheme="majorHAnsi"/>
          <w:lang w:val="es-ES"/>
        </w:rPr>
        <w:t xml:space="preserve"> En este sentido, </w:t>
      </w:r>
      <w:r w:rsidR="000F3B98" w:rsidRPr="00CD0C90">
        <w:rPr>
          <w:rFonts w:asciiTheme="majorHAnsi" w:hAnsiTheme="majorHAnsi" w:cstheme="majorHAnsi"/>
          <w:lang w:val="es-ES"/>
        </w:rPr>
        <w:t>el artículo 7 de la Ley 819 de 2003 exige que todo proyecto de ley, ordenanza o acuerdo que ordene gasto o conceda beneficios tributarios cuente con un aval o concepto previo de impacto fiscal por parte del Ministerio de Hacienda y Crédito Público, lo que en la práctica funciona como un filtro adicional que se superpone al filtro político de las comisiones (Congreso de la República, 2003).</w:t>
      </w:r>
    </w:p>
    <w:p w14:paraId="36DCB00C" w14:textId="675C9817" w:rsidR="000F3B98" w:rsidRPr="00CD0C90" w:rsidRDefault="00D97E59"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Adicional a esto,</w:t>
      </w:r>
      <w:r w:rsidR="000F3B98" w:rsidRPr="00CD0C90">
        <w:rPr>
          <w:rFonts w:asciiTheme="majorHAnsi" w:hAnsiTheme="majorHAnsi" w:cstheme="majorHAnsi"/>
          <w:lang w:val="es-ES"/>
        </w:rPr>
        <w:t xml:space="preserve"> el artículo 190 de la Ley 5 de 1992 establece el archivo automático de los proyectos que no completen su trámite dentro de dos legislaturas,</w:t>
      </w:r>
      <w:r w:rsidRPr="00CD0C90">
        <w:rPr>
          <w:rFonts w:asciiTheme="majorHAnsi" w:hAnsiTheme="majorHAnsi" w:cstheme="majorHAnsi"/>
          <w:lang w:val="es-ES"/>
        </w:rPr>
        <w:t xml:space="preserve"> un</w:t>
      </w:r>
      <w:r w:rsidR="000F3B98" w:rsidRPr="00CD0C90">
        <w:rPr>
          <w:rFonts w:asciiTheme="majorHAnsi" w:hAnsiTheme="majorHAnsi" w:cstheme="majorHAnsi"/>
          <w:lang w:val="es-ES"/>
        </w:rPr>
        <w:t xml:space="preserve"> mecanismo que en la práctica </w:t>
      </w:r>
      <w:r w:rsidRPr="00CD0C90">
        <w:rPr>
          <w:rFonts w:asciiTheme="majorHAnsi" w:hAnsiTheme="majorHAnsi" w:cstheme="majorHAnsi"/>
          <w:lang w:val="es-ES"/>
        </w:rPr>
        <w:t>funciona</w:t>
      </w:r>
      <w:r w:rsidR="000F3B98" w:rsidRPr="00CD0C90">
        <w:rPr>
          <w:rFonts w:asciiTheme="majorHAnsi" w:hAnsiTheme="majorHAnsi" w:cstheme="majorHAnsi"/>
          <w:lang w:val="es-ES"/>
        </w:rPr>
        <w:t xml:space="preserve"> como una </w:t>
      </w:r>
      <w:r w:rsidRPr="00CD0C90">
        <w:rPr>
          <w:rFonts w:asciiTheme="majorHAnsi" w:hAnsiTheme="majorHAnsi" w:cstheme="majorHAnsi"/>
          <w:lang w:val="es-ES"/>
        </w:rPr>
        <w:t xml:space="preserve">especie de </w:t>
      </w:r>
      <w:r w:rsidR="000F3B98" w:rsidRPr="00CD0C90">
        <w:rPr>
          <w:rFonts w:asciiTheme="majorHAnsi" w:hAnsiTheme="majorHAnsi" w:cstheme="majorHAnsi"/>
          <w:lang w:val="es-ES"/>
        </w:rPr>
        <w:t>vía de veto silencioso</w:t>
      </w:r>
      <w:r w:rsidRPr="00CD0C90">
        <w:rPr>
          <w:rFonts w:asciiTheme="majorHAnsi" w:hAnsiTheme="majorHAnsi" w:cstheme="majorHAnsi"/>
          <w:lang w:val="es-ES"/>
        </w:rPr>
        <w:t xml:space="preserve"> en la que, </w:t>
      </w:r>
      <w:r w:rsidR="000F3B98" w:rsidRPr="00CD0C90">
        <w:rPr>
          <w:rFonts w:asciiTheme="majorHAnsi" w:hAnsiTheme="majorHAnsi" w:cstheme="majorHAnsi"/>
          <w:lang w:val="es-ES"/>
        </w:rPr>
        <w:t xml:space="preserve">una comisión </w:t>
      </w:r>
      <w:r w:rsidRPr="00CD0C90">
        <w:rPr>
          <w:rFonts w:asciiTheme="majorHAnsi" w:hAnsiTheme="majorHAnsi" w:cstheme="majorHAnsi"/>
          <w:lang w:val="es-ES"/>
        </w:rPr>
        <w:t>puede dilatar</w:t>
      </w:r>
      <w:r w:rsidR="000F3B98" w:rsidRPr="00CD0C90">
        <w:rPr>
          <w:rFonts w:asciiTheme="majorHAnsi" w:hAnsiTheme="majorHAnsi" w:cstheme="majorHAnsi"/>
          <w:lang w:val="es-ES"/>
        </w:rPr>
        <w:t xml:space="preserve"> el debate para que </w:t>
      </w:r>
      <w:r w:rsidRPr="00CD0C90">
        <w:rPr>
          <w:rFonts w:asciiTheme="majorHAnsi" w:hAnsiTheme="majorHAnsi" w:cstheme="majorHAnsi"/>
          <w:lang w:val="es-ES"/>
        </w:rPr>
        <w:t>los</w:t>
      </w:r>
      <w:r w:rsidR="000F3B98" w:rsidRPr="00CD0C90">
        <w:rPr>
          <w:rFonts w:asciiTheme="majorHAnsi" w:hAnsiTheme="majorHAnsi" w:cstheme="majorHAnsi"/>
          <w:lang w:val="es-ES"/>
        </w:rPr>
        <w:t xml:space="preserve"> proyecto</w:t>
      </w:r>
      <w:r w:rsidRPr="00CD0C90">
        <w:rPr>
          <w:rFonts w:asciiTheme="majorHAnsi" w:hAnsiTheme="majorHAnsi" w:cstheme="majorHAnsi"/>
          <w:lang w:val="es-ES"/>
        </w:rPr>
        <w:t>s</w:t>
      </w:r>
      <w:r w:rsidR="000F3B98" w:rsidRPr="00CD0C90">
        <w:rPr>
          <w:rFonts w:asciiTheme="majorHAnsi" w:hAnsiTheme="majorHAnsi" w:cstheme="majorHAnsi"/>
          <w:lang w:val="es-ES"/>
        </w:rPr>
        <w:t xml:space="preserve"> se hunda</w:t>
      </w:r>
      <w:r w:rsidRPr="00CD0C90">
        <w:rPr>
          <w:rFonts w:asciiTheme="majorHAnsi" w:hAnsiTheme="majorHAnsi" w:cstheme="majorHAnsi"/>
          <w:lang w:val="es-ES"/>
        </w:rPr>
        <w:t>n</w:t>
      </w:r>
      <w:r w:rsidR="000F3B98" w:rsidRPr="00CD0C90">
        <w:rPr>
          <w:rFonts w:asciiTheme="majorHAnsi" w:hAnsiTheme="majorHAnsi" w:cstheme="majorHAnsi"/>
          <w:lang w:val="es-ES"/>
        </w:rPr>
        <w:t xml:space="preserve"> sin necesidad de </w:t>
      </w:r>
      <w:r w:rsidRPr="00CD0C90">
        <w:rPr>
          <w:rFonts w:asciiTheme="majorHAnsi" w:hAnsiTheme="majorHAnsi" w:cstheme="majorHAnsi"/>
          <w:lang w:val="es-ES"/>
        </w:rPr>
        <w:t>ninguna votación</w:t>
      </w:r>
      <w:r w:rsidR="000F3B98" w:rsidRPr="00CD0C90">
        <w:rPr>
          <w:rFonts w:asciiTheme="majorHAnsi" w:hAnsiTheme="majorHAnsi" w:cstheme="majorHAnsi"/>
          <w:lang w:val="es-ES"/>
        </w:rPr>
        <w:t xml:space="preserve"> (Congreso de la República, 1992). </w:t>
      </w:r>
      <w:r w:rsidRPr="00CD0C90">
        <w:rPr>
          <w:rFonts w:asciiTheme="majorHAnsi" w:hAnsiTheme="majorHAnsi" w:cstheme="majorHAnsi"/>
          <w:lang w:val="es-ES"/>
        </w:rPr>
        <w:t>De esta forma, el p</w:t>
      </w:r>
      <w:r w:rsidR="000F3B98" w:rsidRPr="00CD0C90">
        <w:rPr>
          <w:rFonts w:asciiTheme="majorHAnsi" w:hAnsiTheme="majorHAnsi" w:cstheme="majorHAnsi"/>
          <w:lang w:val="es-ES"/>
        </w:rPr>
        <w:t xml:space="preserve">royecto de Ley 187 de 2023, que buscaba ampliar la cobertura de subsidios al consumo de gas licuado del petróleo (GLP) en cilindros para hogares de estratos 1 y 2 en </w:t>
      </w:r>
      <w:r w:rsidRPr="00CD0C90">
        <w:rPr>
          <w:rFonts w:asciiTheme="majorHAnsi" w:hAnsiTheme="majorHAnsi" w:cstheme="majorHAnsi"/>
          <w:lang w:val="es-ES"/>
        </w:rPr>
        <w:t>12</w:t>
      </w:r>
      <w:r w:rsidR="000F3B98" w:rsidRPr="00CD0C90">
        <w:rPr>
          <w:rFonts w:asciiTheme="majorHAnsi" w:hAnsiTheme="majorHAnsi" w:cstheme="majorHAnsi"/>
          <w:lang w:val="es-ES"/>
        </w:rPr>
        <w:t xml:space="preserve"> departamentos</w:t>
      </w:r>
      <w:r w:rsidRPr="00CD0C90">
        <w:rPr>
          <w:rFonts w:asciiTheme="majorHAnsi" w:hAnsiTheme="majorHAnsi" w:cstheme="majorHAnsi"/>
          <w:lang w:val="es-ES"/>
        </w:rPr>
        <w:t xml:space="preserve">, fue </w:t>
      </w:r>
      <w:r w:rsidR="000F3B98" w:rsidRPr="00CD0C90">
        <w:rPr>
          <w:rFonts w:asciiTheme="majorHAnsi" w:hAnsiTheme="majorHAnsi" w:cstheme="majorHAnsi"/>
          <w:lang w:val="es-ES"/>
        </w:rPr>
        <w:t xml:space="preserve">radicado el 18 de octubre de </w:t>
      </w:r>
      <w:r w:rsidR="000F3B98" w:rsidRPr="00CD0C90">
        <w:rPr>
          <w:rFonts w:asciiTheme="majorHAnsi" w:hAnsiTheme="majorHAnsi" w:cstheme="majorHAnsi"/>
          <w:lang w:val="es-ES"/>
        </w:rPr>
        <w:lastRenderedPageBreak/>
        <w:t xml:space="preserve">2023 </w:t>
      </w:r>
      <w:r w:rsidRPr="00CD0C90">
        <w:rPr>
          <w:rFonts w:asciiTheme="majorHAnsi" w:hAnsiTheme="majorHAnsi" w:cstheme="majorHAnsi"/>
          <w:lang w:val="es-ES"/>
        </w:rPr>
        <w:t>en</w:t>
      </w:r>
      <w:r w:rsidR="000F3B98" w:rsidRPr="00CD0C90">
        <w:rPr>
          <w:rFonts w:asciiTheme="majorHAnsi" w:hAnsiTheme="majorHAnsi" w:cstheme="majorHAnsi"/>
          <w:lang w:val="es-ES"/>
        </w:rPr>
        <w:t xml:space="preserve"> la Comisión Quinta de Senado, su trámite se extinguió por vencimiento de términos con </w:t>
      </w:r>
      <w:r w:rsidRPr="00CD0C90">
        <w:rPr>
          <w:rFonts w:asciiTheme="majorHAnsi" w:hAnsiTheme="majorHAnsi" w:cstheme="majorHAnsi"/>
          <w:lang w:val="es-ES"/>
        </w:rPr>
        <w:t>base</w:t>
      </w:r>
      <w:r w:rsidR="000F3B98" w:rsidRPr="00CD0C90">
        <w:rPr>
          <w:rFonts w:asciiTheme="majorHAnsi" w:hAnsiTheme="majorHAnsi" w:cstheme="majorHAnsi"/>
          <w:lang w:val="es-ES"/>
        </w:rPr>
        <w:t xml:space="preserve"> en el artículo 162 de la Constitución y el artículo 190 de la Ley 5 de 1992 (Cámara de Representantes, 2025; Senado de la República, 2023).</w:t>
      </w:r>
    </w:p>
    <w:p w14:paraId="4B1996DD" w14:textId="70FA3590" w:rsidR="00D97E59" w:rsidRPr="00CD0C90" w:rsidRDefault="00D97E59"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De esta forma</w:t>
      </w:r>
      <w:r w:rsidR="000F3B98" w:rsidRPr="00CD0C90">
        <w:rPr>
          <w:rFonts w:asciiTheme="majorHAnsi" w:hAnsiTheme="majorHAnsi" w:cstheme="majorHAnsi"/>
          <w:lang w:val="es-ES"/>
        </w:rPr>
        <w:t>, de los 40 proyectos de ley relacionados con minería e hidrocarburos que se tramitaron durante la legislatura 2023-2024, 29 (72,5 %) fueron archivados o retirados, ninguno culminó su trámite dentro del corte de seguimiento, 3 pasaron a sanción presidencial y únicamente 8 continuaron su curso hacia la legislatura siguiente (C</w:t>
      </w:r>
      <w:r w:rsidRPr="00CD0C90">
        <w:rPr>
          <w:rFonts w:asciiTheme="majorHAnsi" w:hAnsiTheme="majorHAnsi" w:cstheme="majorHAnsi"/>
          <w:lang w:val="es-ES"/>
        </w:rPr>
        <w:t>AMPETROL</w:t>
      </w:r>
      <w:r w:rsidR="000F3B98" w:rsidRPr="00CD0C90">
        <w:rPr>
          <w:rFonts w:asciiTheme="majorHAnsi" w:hAnsiTheme="majorHAnsi" w:cstheme="majorHAnsi"/>
          <w:lang w:val="es-ES"/>
        </w:rPr>
        <w:t xml:space="preserve">, 2024). </w:t>
      </w:r>
      <w:r w:rsidRPr="00CD0C90">
        <w:rPr>
          <w:rFonts w:asciiTheme="majorHAnsi" w:hAnsiTheme="majorHAnsi" w:cstheme="majorHAnsi"/>
          <w:lang w:val="es-ES"/>
        </w:rPr>
        <w:t>D</w:t>
      </w:r>
      <w:r w:rsidR="000F3B98" w:rsidRPr="00CD0C90">
        <w:rPr>
          <w:rFonts w:asciiTheme="majorHAnsi" w:hAnsiTheme="majorHAnsi" w:cstheme="majorHAnsi"/>
          <w:lang w:val="es-ES"/>
        </w:rPr>
        <w:t xml:space="preserve">e acuerdo con la firma de monitoreo Orza, la tasa de efectividad legislativa del </w:t>
      </w:r>
      <w:r w:rsidR="001D4B0A" w:rsidRPr="00CD0C90">
        <w:rPr>
          <w:rFonts w:asciiTheme="majorHAnsi" w:hAnsiTheme="majorHAnsi" w:cstheme="majorHAnsi"/>
          <w:lang w:val="es-ES"/>
        </w:rPr>
        <w:t>ejecutivo</w:t>
      </w:r>
      <w:r w:rsidR="000F3B98" w:rsidRPr="00CD0C90">
        <w:rPr>
          <w:rFonts w:asciiTheme="majorHAnsi" w:hAnsiTheme="majorHAnsi" w:cstheme="majorHAnsi"/>
          <w:lang w:val="es-ES"/>
        </w:rPr>
        <w:t xml:space="preserve"> nacional</w:t>
      </w:r>
      <w:r w:rsidRPr="00CD0C90">
        <w:rPr>
          <w:rFonts w:asciiTheme="majorHAnsi" w:hAnsiTheme="majorHAnsi" w:cstheme="majorHAnsi"/>
          <w:lang w:val="es-ES"/>
        </w:rPr>
        <w:t xml:space="preserve">, es decir, la </w:t>
      </w:r>
      <w:r w:rsidR="000F3B98" w:rsidRPr="00CD0C90">
        <w:rPr>
          <w:rFonts w:asciiTheme="majorHAnsi" w:hAnsiTheme="majorHAnsi" w:cstheme="majorHAnsi"/>
          <w:lang w:val="es-ES"/>
        </w:rPr>
        <w:t xml:space="preserve">proporción de proyectos radicados por el Gobierno </w:t>
      </w:r>
      <w:r w:rsidRPr="00CD0C90">
        <w:rPr>
          <w:rFonts w:asciiTheme="majorHAnsi" w:hAnsiTheme="majorHAnsi" w:cstheme="majorHAnsi"/>
          <w:lang w:val="es-ES"/>
        </w:rPr>
        <w:t xml:space="preserve">que </w:t>
      </w:r>
      <w:r w:rsidR="000F3B98" w:rsidRPr="00CD0C90">
        <w:rPr>
          <w:rFonts w:asciiTheme="majorHAnsi" w:hAnsiTheme="majorHAnsi" w:cstheme="majorHAnsi"/>
          <w:lang w:val="es-ES"/>
        </w:rPr>
        <w:t>se convirtieron en ley</w:t>
      </w:r>
      <w:r w:rsidRPr="00CD0C90">
        <w:rPr>
          <w:rFonts w:asciiTheme="majorHAnsi" w:hAnsiTheme="majorHAnsi" w:cstheme="majorHAnsi"/>
          <w:lang w:val="es-ES"/>
        </w:rPr>
        <w:t>,</w:t>
      </w:r>
      <w:r w:rsidR="000F3B98" w:rsidRPr="00CD0C90">
        <w:rPr>
          <w:rFonts w:asciiTheme="majorHAnsi" w:hAnsiTheme="majorHAnsi" w:cstheme="majorHAnsi"/>
          <w:lang w:val="es-ES"/>
        </w:rPr>
        <w:t xml:space="preserve"> </w:t>
      </w:r>
      <w:r w:rsidRPr="00CD0C90">
        <w:rPr>
          <w:rFonts w:asciiTheme="majorHAnsi" w:hAnsiTheme="majorHAnsi" w:cstheme="majorHAnsi"/>
          <w:lang w:val="es-ES"/>
        </w:rPr>
        <w:t>bajó</w:t>
      </w:r>
      <w:r w:rsidR="000F3B98" w:rsidRPr="00CD0C90">
        <w:rPr>
          <w:rFonts w:asciiTheme="majorHAnsi" w:hAnsiTheme="majorHAnsi" w:cstheme="majorHAnsi"/>
          <w:lang w:val="es-ES"/>
        </w:rPr>
        <w:t xml:space="preserve"> de 33,3 % en la primera legislatura (2022-2023) a 22,6 % en la tercera (2024-2025) y </w:t>
      </w:r>
      <w:r w:rsidRPr="00CD0C90">
        <w:rPr>
          <w:rFonts w:asciiTheme="majorHAnsi" w:hAnsiTheme="majorHAnsi" w:cstheme="majorHAnsi"/>
          <w:lang w:val="es-ES"/>
        </w:rPr>
        <w:t xml:space="preserve">cayó a </w:t>
      </w:r>
      <w:r w:rsidR="000F3B98" w:rsidRPr="00CD0C90">
        <w:rPr>
          <w:rFonts w:asciiTheme="majorHAnsi" w:hAnsiTheme="majorHAnsi" w:cstheme="majorHAnsi"/>
          <w:lang w:val="es-ES"/>
        </w:rPr>
        <w:t>4,5 % en la cuarta y última legislatura (2025-2026) (El País, 2026; Vanguardia, 2025).</w:t>
      </w:r>
      <w:r w:rsidRPr="00CD0C90">
        <w:rPr>
          <w:rFonts w:asciiTheme="majorHAnsi" w:hAnsiTheme="majorHAnsi" w:cstheme="majorHAnsi"/>
          <w:lang w:val="es-ES"/>
        </w:rPr>
        <w:t xml:space="preserve"> Por otro lado,</w:t>
      </w:r>
      <w:r w:rsidR="000F3B98" w:rsidRPr="00CD0C90">
        <w:rPr>
          <w:rFonts w:asciiTheme="majorHAnsi" w:hAnsiTheme="majorHAnsi" w:cstheme="majorHAnsi"/>
          <w:lang w:val="es-ES"/>
        </w:rPr>
        <w:t xml:space="preserve"> la tasa de aprobación de las iniciativas d</w:t>
      </w:r>
      <w:r w:rsidRPr="00CD0C90">
        <w:rPr>
          <w:rFonts w:asciiTheme="majorHAnsi" w:hAnsiTheme="majorHAnsi" w:cstheme="majorHAnsi"/>
          <w:lang w:val="es-ES"/>
        </w:rPr>
        <w:t xml:space="preserve">el legislativo </w:t>
      </w:r>
      <w:r w:rsidR="000F3B98" w:rsidRPr="00CD0C90">
        <w:rPr>
          <w:rFonts w:asciiTheme="majorHAnsi" w:hAnsiTheme="majorHAnsi" w:cstheme="majorHAnsi"/>
          <w:lang w:val="es-ES"/>
        </w:rPr>
        <w:t>cayó del 18,2 % en 2022-2023 al 1,4 % en 2025-2026, con 623 de 795 proyectos archivados solo en el último periodo (El Colombiano, 2026).</w:t>
      </w:r>
    </w:p>
    <w:p w14:paraId="4B5A8497" w14:textId="429A68D0" w:rsidR="000F3B98" w:rsidRPr="00CD0C90" w:rsidRDefault="00D97E59"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Lo anterior muestra que existe una</w:t>
      </w:r>
      <w:r w:rsidR="000F3B98" w:rsidRPr="00CD0C90">
        <w:rPr>
          <w:rFonts w:asciiTheme="majorHAnsi" w:hAnsiTheme="majorHAnsi" w:cstheme="majorHAnsi"/>
          <w:lang w:val="es-ES"/>
        </w:rPr>
        <w:t xml:space="preserve"> </w:t>
      </w:r>
      <w:r w:rsidRPr="00CD0C90">
        <w:rPr>
          <w:rFonts w:asciiTheme="majorHAnsi" w:hAnsiTheme="majorHAnsi" w:cstheme="majorHAnsi"/>
          <w:lang w:val="es-ES"/>
        </w:rPr>
        <w:t xml:space="preserve">diferencia entre la </w:t>
      </w:r>
      <w:r w:rsidR="000F3B98" w:rsidRPr="00CD0C90">
        <w:rPr>
          <w:rFonts w:asciiTheme="majorHAnsi" w:hAnsiTheme="majorHAnsi" w:cstheme="majorHAnsi"/>
          <w:lang w:val="es-ES"/>
        </w:rPr>
        <w:t xml:space="preserve">tasa de éxito del </w:t>
      </w:r>
      <w:r w:rsidR="001D4B0A" w:rsidRPr="00CD0C90">
        <w:rPr>
          <w:rFonts w:asciiTheme="majorHAnsi" w:hAnsiTheme="majorHAnsi" w:cstheme="majorHAnsi"/>
          <w:lang w:val="es-ES"/>
        </w:rPr>
        <w:t>ejecutivo</w:t>
      </w:r>
      <w:r w:rsidR="000F3B98" w:rsidRPr="00CD0C90">
        <w:rPr>
          <w:rFonts w:asciiTheme="majorHAnsi" w:hAnsiTheme="majorHAnsi" w:cstheme="majorHAnsi"/>
          <w:lang w:val="es-ES"/>
        </w:rPr>
        <w:t xml:space="preserve"> y la del </w:t>
      </w:r>
      <w:r w:rsidR="001D4B0A" w:rsidRPr="00CD0C90">
        <w:rPr>
          <w:rFonts w:asciiTheme="majorHAnsi" w:hAnsiTheme="majorHAnsi" w:cstheme="majorHAnsi"/>
          <w:lang w:val="es-ES"/>
        </w:rPr>
        <w:t>legislativo</w:t>
      </w:r>
      <w:r w:rsidR="000F3B98" w:rsidRPr="00CD0C90">
        <w:rPr>
          <w:rFonts w:asciiTheme="majorHAnsi" w:hAnsiTheme="majorHAnsi" w:cstheme="majorHAnsi"/>
          <w:lang w:val="es-ES"/>
        </w:rPr>
        <w:t xml:space="preserve"> </w:t>
      </w:r>
      <w:r w:rsidRPr="00CD0C90">
        <w:rPr>
          <w:rFonts w:asciiTheme="majorHAnsi" w:hAnsiTheme="majorHAnsi" w:cstheme="majorHAnsi"/>
          <w:lang w:val="es-ES"/>
        </w:rPr>
        <w:t xml:space="preserve">del </w:t>
      </w:r>
      <w:r w:rsidR="000F3B98" w:rsidRPr="00CD0C90">
        <w:rPr>
          <w:rFonts w:asciiTheme="majorHAnsi" w:hAnsiTheme="majorHAnsi" w:cstheme="majorHAnsi"/>
          <w:lang w:val="es-ES"/>
        </w:rPr>
        <w:t xml:space="preserve">54 % frente a 10 % en el período 1974-2004 (Pachón, 2005) y 66 % frente a 17 % entre 1998 y 2014 (Carroll &amp; Pachón, 2016), </w:t>
      </w:r>
      <w:r w:rsidRPr="00CD0C90">
        <w:rPr>
          <w:rFonts w:asciiTheme="majorHAnsi" w:hAnsiTheme="majorHAnsi" w:cstheme="majorHAnsi"/>
          <w:lang w:val="es-ES"/>
        </w:rPr>
        <w:t>que puede indicar</w:t>
      </w:r>
      <w:r w:rsidR="000F3B98" w:rsidRPr="00CD0C90">
        <w:rPr>
          <w:rFonts w:asciiTheme="majorHAnsi" w:hAnsiTheme="majorHAnsi" w:cstheme="majorHAnsi"/>
          <w:lang w:val="es-ES"/>
        </w:rPr>
        <w:t xml:space="preserve"> que los costos de transacción legislativa constituyen una restricción estructural del sistema político colombiano, y no una anomalía coyuntural del sector energético o del gobierno de turno. Esta persistencia histórica</w:t>
      </w:r>
      <w:r w:rsidRPr="00CD0C90">
        <w:rPr>
          <w:rFonts w:asciiTheme="majorHAnsi" w:hAnsiTheme="majorHAnsi" w:cstheme="majorHAnsi"/>
          <w:lang w:val="es-ES"/>
        </w:rPr>
        <w:t xml:space="preserve"> hace muy difícil que en el plano real se puedan</w:t>
      </w:r>
      <w:r w:rsidR="000F3B98" w:rsidRPr="00CD0C90">
        <w:rPr>
          <w:rFonts w:asciiTheme="majorHAnsi" w:hAnsiTheme="majorHAnsi" w:cstheme="majorHAnsi"/>
          <w:lang w:val="es-ES"/>
        </w:rPr>
        <w:t xml:space="preserve"> garantizar procesos legislativos eficientes cuando no </w:t>
      </w:r>
      <w:r w:rsidR="00BE7741" w:rsidRPr="00CD0C90">
        <w:rPr>
          <w:rFonts w:asciiTheme="majorHAnsi" w:hAnsiTheme="majorHAnsi" w:cstheme="majorHAnsi"/>
          <w:lang w:val="es-ES"/>
        </w:rPr>
        <w:t>existen</w:t>
      </w:r>
      <w:r w:rsidR="000F3B98" w:rsidRPr="00CD0C90">
        <w:rPr>
          <w:rFonts w:asciiTheme="majorHAnsi" w:hAnsiTheme="majorHAnsi" w:cstheme="majorHAnsi"/>
          <w:lang w:val="es-ES"/>
        </w:rPr>
        <w:t xml:space="preserve"> de mecanismos institucionalizados de coordinación programática.</w:t>
      </w:r>
    </w:p>
    <w:p w14:paraId="6A9D7297" w14:textId="7624A1BB" w:rsidR="000F3B98" w:rsidRPr="00CD0C90" w:rsidRDefault="000F3B98" w:rsidP="00CD0C90">
      <w:pPr>
        <w:pStyle w:val="Ttulo3"/>
        <w:spacing w:line="276" w:lineRule="auto"/>
        <w:rPr>
          <w:rFonts w:asciiTheme="majorHAnsi" w:hAnsiTheme="majorHAnsi" w:cstheme="majorHAnsi"/>
          <w:sz w:val="22"/>
          <w:szCs w:val="22"/>
          <w:lang w:val="es-ES"/>
        </w:rPr>
      </w:pPr>
      <w:bookmarkStart w:id="23" w:name="_Toc234920358"/>
      <w:r w:rsidRPr="00CD0C90">
        <w:rPr>
          <w:rFonts w:asciiTheme="majorHAnsi" w:hAnsiTheme="majorHAnsi" w:cstheme="majorHAnsi"/>
          <w:sz w:val="22"/>
          <w:szCs w:val="22"/>
          <w:lang w:val="es-ES"/>
        </w:rPr>
        <w:t xml:space="preserve">1.1.3 Avances normativos en </w:t>
      </w:r>
      <w:r w:rsidR="00CD0C90" w:rsidRPr="00CD0C90">
        <w:rPr>
          <w:rFonts w:asciiTheme="majorHAnsi" w:hAnsiTheme="majorHAnsi" w:cstheme="majorHAnsi"/>
          <w:sz w:val="22"/>
          <w:szCs w:val="22"/>
          <w:lang w:val="es-ES"/>
        </w:rPr>
        <w:t xml:space="preserve">la </w:t>
      </w:r>
      <w:r w:rsidRPr="00CD0C90">
        <w:rPr>
          <w:rFonts w:asciiTheme="majorHAnsi" w:hAnsiTheme="majorHAnsi" w:cstheme="majorHAnsi"/>
          <w:sz w:val="22"/>
          <w:szCs w:val="22"/>
          <w:lang w:val="es-ES"/>
        </w:rPr>
        <w:t>transición energética justa</w:t>
      </w:r>
      <w:bookmarkEnd w:id="23"/>
    </w:p>
    <w:p w14:paraId="3541ED9D" w14:textId="266E3BE9" w:rsidR="000F3B98" w:rsidRPr="00CD0C90" w:rsidRDefault="000F3B98"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A pesar de estos costos de transacción, el período reciente registra avances normativos relevantes en materia de TEJ, aunque con una implementación desigual que ilustra precisamente la fragilidad del anclaje legislativo de la política. El Consejo Nacional de Política Económica y Social aprobó el CONPES 4075 de 2020, que estableció la política marco de transición energética como hoja de ruta programática, sin fuerza de ley (Departamento Nacional de Planeación, 2020). Posteriormente, el artículo 235 de la Ley 2294 de 2023 —por la cual se expidió el Plan Nacional de Desarrollo 2022-2026— modificó el artículo 5 de la Ley 1715 de 2014 para crear la figura de las Comunidades Energéticas, asignando a la Unidad de Planeación Minero-Energética (UPME) la definición de parámetros de capacidad, a la Comisión de Regulación de Energía y Gas (CREG) la regulación de la prestación del servicio, y a la Superintendencia de Servicios Públicos Domiciliarios la vigilancia (Congreso de la República, 2023). Sin embargo, la operatividad de esta figura quedó sujeta a reglamentación posterior: el Decreto 2236 de 2023</w:t>
      </w:r>
      <w:r w:rsidR="00CB05B6" w:rsidRPr="00CD0C90">
        <w:rPr>
          <w:rFonts w:asciiTheme="majorHAnsi" w:hAnsiTheme="majorHAnsi" w:cstheme="majorHAnsi"/>
          <w:lang w:val="es-ES"/>
        </w:rPr>
        <w:t xml:space="preserve">, </w:t>
      </w:r>
      <w:r w:rsidRPr="00CD0C90">
        <w:rPr>
          <w:rFonts w:asciiTheme="majorHAnsi" w:hAnsiTheme="majorHAnsi" w:cstheme="majorHAnsi"/>
          <w:lang w:val="es-ES"/>
        </w:rPr>
        <w:t>que adicionó el Decreto 1073 de 2015 y ordenó la creación del Registro Único de Comunidades Energéticas (RUCE), administrado por la Dirección de Energía Eléctrica del MM</w:t>
      </w:r>
      <w:r w:rsidR="00CB05B6" w:rsidRPr="00CD0C90">
        <w:rPr>
          <w:rFonts w:asciiTheme="majorHAnsi" w:hAnsiTheme="majorHAnsi" w:cstheme="majorHAnsi"/>
          <w:lang w:val="es-ES"/>
        </w:rPr>
        <w:t>,</w:t>
      </w:r>
      <w:r w:rsidRPr="00CD0C90">
        <w:rPr>
          <w:rFonts w:asciiTheme="majorHAnsi" w:hAnsiTheme="majorHAnsi" w:cstheme="majorHAnsi"/>
          <w:lang w:val="es-ES"/>
        </w:rPr>
        <w:t xml:space="preserve"> tuvo que ser corregido mediante el Decreto 0273 de 2024, </w:t>
      </w:r>
      <w:r w:rsidRPr="00CD0C90">
        <w:rPr>
          <w:rFonts w:asciiTheme="majorHAnsi" w:hAnsiTheme="majorHAnsi" w:cstheme="majorHAnsi"/>
          <w:lang w:val="es-ES"/>
        </w:rPr>
        <w:lastRenderedPageBreak/>
        <w:t>evidenciando dificultades de coordinación técnica entre el nivel legal y el nivel reglamentario (Ministerio de Minas y Energía, 2023, 2024).</w:t>
      </w:r>
    </w:p>
    <w:p w14:paraId="3D4562F2" w14:textId="26C9AA5A" w:rsidR="000F3B98" w:rsidRPr="00CD0C90" w:rsidRDefault="000F3B98"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En 2025, el MME formalizó la Hoja de Ruta para la Transición Energética Justa, estructurada en cuatro líneas estratégicas</w:t>
      </w:r>
      <w:r w:rsidR="00CB05B6" w:rsidRPr="00CD0C90">
        <w:rPr>
          <w:rFonts w:asciiTheme="majorHAnsi" w:hAnsiTheme="majorHAnsi" w:cstheme="majorHAnsi"/>
          <w:lang w:val="es-ES"/>
        </w:rPr>
        <w:t xml:space="preserve">, a saber: </w:t>
      </w:r>
      <w:r w:rsidRPr="00CD0C90">
        <w:rPr>
          <w:rFonts w:asciiTheme="majorHAnsi" w:hAnsiTheme="majorHAnsi" w:cstheme="majorHAnsi"/>
          <w:lang w:val="es-ES"/>
        </w:rPr>
        <w:t>democratización de la energía, despliegue a gran escala de fuentes no convencionales, energía en firme y modernización del mercado</w:t>
      </w:r>
      <w:r w:rsidR="00CB05B6" w:rsidRPr="00CD0C90">
        <w:rPr>
          <w:rFonts w:asciiTheme="majorHAnsi" w:hAnsiTheme="majorHAnsi" w:cstheme="majorHAnsi"/>
          <w:lang w:val="es-ES"/>
        </w:rPr>
        <w:t>. Esta ruta tenía</w:t>
      </w:r>
      <w:r w:rsidRPr="00CD0C90">
        <w:rPr>
          <w:rFonts w:asciiTheme="majorHAnsi" w:hAnsiTheme="majorHAnsi" w:cstheme="majorHAnsi"/>
          <w:lang w:val="es-ES"/>
        </w:rPr>
        <w:t xml:space="preserve"> la meta de quintuplicar la capacidad instalada de fuentes no convencionales de energía renovable (FNCER) hacia el final de la década (Ministerio de Minas y Energía, 2025). El seguimiento oficial del denominado Plan 6GW+, liderado por la UPME, reportaba una capacidad instalada acumulada de 4.619,11 MW en proyectos de FNCER, de los cuales 3.384,56 MW se encontraban en operación comercial y 1.234,55 MW en fase de pruebas (UPME], 2026), </w:t>
      </w:r>
      <w:r w:rsidR="00CB05B6" w:rsidRPr="00CD0C90">
        <w:rPr>
          <w:rFonts w:asciiTheme="majorHAnsi" w:hAnsiTheme="majorHAnsi" w:cstheme="majorHAnsi"/>
          <w:lang w:val="es-ES"/>
        </w:rPr>
        <w:t xml:space="preserve">lo que se </w:t>
      </w:r>
      <w:r w:rsidRPr="00CD0C90">
        <w:rPr>
          <w:rFonts w:asciiTheme="majorHAnsi" w:hAnsiTheme="majorHAnsi" w:cstheme="majorHAnsi"/>
          <w:lang w:val="es-ES"/>
        </w:rPr>
        <w:t xml:space="preserve">traduce en una participación del 15,64 % de estas fuentes en la matriz de generación eléctrica nacional (Ministerio de Minas y Energía, 2026). </w:t>
      </w:r>
    </w:p>
    <w:p w14:paraId="29F1BF9F" w14:textId="5C9CBAC2" w:rsidR="000F3B98" w:rsidRPr="00CD0C90" w:rsidRDefault="00CB05B6"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No obstante, existe una</w:t>
      </w:r>
      <w:r w:rsidR="000F3B98" w:rsidRPr="00CD0C90">
        <w:rPr>
          <w:rFonts w:asciiTheme="majorHAnsi" w:hAnsiTheme="majorHAnsi" w:cstheme="majorHAnsi"/>
          <w:lang w:val="es-ES"/>
        </w:rPr>
        <w:t xml:space="preserve"> </w:t>
      </w:r>
      <w:r w:rsidRPr="00CD0C90">
        <w:rPr>
          <w:rFonts w:asciiTheme="majorHAnsi" w:hAnsiTheme="majorHAnsi" w:cstheme="majorHAnsi"/>
          <w:lang w:val="es-ES"/>
        </w:rPr>
        <w:t>debilidad</w:t>
      </w:r>
      <w:r w:rsidR="000F3B98" w:rsidRPr="00CD0C90">
        <w:rPr>
          <w:rFonts w:asciiTheme="majorHAnsi" w:hAnsiTheme="majorHAnsi" w:cstheme="majorHAnsi"/>
          <w:lang w:val="es-ES"/>
        </w:rPr>
        <w:t xml:space="preserve"> del anclaje legislativo </w:t>
      </w:r>
      <w:r w:rsidRPr="00CD0C90">
        <w:rPr>
          <w:rFonts w:asciiTheme="majorHAnsi" w:hAnsiTheme="majorHAnsi" w:cstheme="majorHAnsi"/>
          <w:lang w:val="es-ES"/>
        </w:rPr>
        <w:t>frente a</w:t>
      </w:r>
      <w:r w:rsidR="000F3B98" w:rsidRPr="00CD0C90">
        <w:rPr>
          <w:rFonts w:asciiTheme="majorHAnsi" w:hAnsiTheme="majorHAnsi" w:cstheme="majorHAnsi"/>
          <w:lang w:val="es-ES"/>
        </w:rPr>
        <w:t xml:space="preserve"> estos avances </w:t>
      </w:r>
      <w:r w:rsidRPr="00CD0C90">
        <w:rPr>
          <w:rFonts w:asciiTheme="majorHAnsi" w:hAnsiTheme="majorHAnsi" w:cstheme="majorHAnsi"/>
          <w:lang w:val="es-ES"/>
        </w:rPr>
        <w:t xml:space="preserve">que se hace más notable, por ejemplo, </w:t>
      </w:r>
      <w:r w:rsidR="000F3B98" w:rsidRPr="00CD0C90">
        <w:rPr>
          <w:rFonts w:asciiTheme="majorHAnsi" w:hAnsiTheme="majorHAnsi" w:cstheme="majorHAnsi"/>
          <w:lang w:val="es-ES"/>
        </w:rPr>
        <w:t>en el trámite del proyecto que garantizaba el acceso al servicio público domiciliario de gas combustible por redes en viviendas de interés social y prioritario (Proyecto de Ley 231 de 2022 Senado – 349 de 2024 Cámara). Aunque el Senado y la Cámara de Representantes aprobaron el texto el 18 de junio de 2024, el presidente de la República objetó el proyecto el 12 de julio de 2024 por razones de inconstitucionalidad asociadas al Marco Fiscal de Mediano y Largo Plazo (Infobae, 2024). Est</w:t>
      </w:r>
      <w:r w:rsidRPr="00CD0C90">
        <w:rPr>
          <w:rFonts w:asciiTheme="majorHAnsi" w:hAnsiTheme="majorHAnsi" w:cstheme="majorHAnsi"/>
          <w:lang w:val="es-ES"/>
        </w:rPr>
        <w:t xml:space="preserve">o muestra que, </w:t>
      </w:r>
      <w:r w:rsidR="000F3B98" w:rsidRPr="00CD0C90">
        <w:rPr>
          <w:rFonts w:asciiTheme="majorHAnsi" w:hAnsiTheme="majorHAnsi" w:cstheme="majorHAnsi"/>
          <w:lang w:val="es-ES"/>
        </w:rPr>
        <w:t xml:space="preserve">incluso cuando el Congreso logra superar el gatekeeping de comisiones y aprobar una iniciativa alineada con los objetivos de </w:t>
      </w:r>
      <w:r w:rsidRPr="00CD0C90">
        <w:rPr>
          <w:rFonts w:asciiTheme="majorHAnsi" w:hAnsiTheme="majorHAnsi" w:cstheme="majorHAnsi"/>
          <w:lang w:val="es-ES"/>
        </w:rPr>
        <w:t>la TEJ</w:t>
      </w:r>
      <w:r w:rsidR="000F3B98" w:rsidRPr="00CD0C90">
        <w:rPr>
          <w:rFonts w:asciiTheme="majorHAnsi" w:hAnsiTheme="majorHAnsi" w:cstheme="majorHAnsi"/>
          <w:lang w:val="es-ES"/>
        </w:rPr>
        <w:t>, la ausencia de una coordinación técnica previa entre el equipo legislativo del MME, el Ministerio de Hacienda y la Presidencia puede frustrar el proceso</w:t>
      </w:r>
      <w:r w:rsidRPr="00CD0C90">
        <w:rPr>
          <w:rFonts w:asciiTheme="majorHAnsi" w:hAnsiTheme="majorHAnsi" w:cstheme="majorHAnsi"/>
          <w:lang w:val="es-ES"/>
        </w:rPr>
        <w:t xml:space="preserve"> en cualquier momento</w:t>
      </w:r>
      <w:r w:rsidR="000F3B98" w:rsidRPr="00CD0C90">
        <w:rPr>
          <w:rFonts w:asciiTheme="majorHAnsi" w:hAnsiTheme="majorHAnsi" w:cstheme="majorHAnsi"/>
          <w:lang w:val="es-ES"/>
        </w:rPr>
        <w:t xml:space="preserve">, evidenciando que los costos de transacción no </w:t>
      </w:r>
      <w:r w:rsidRPr="00CD0C90">
        <w:rPr>
          <w:rFonts w:asciiTheme="majorHAnsi" w:hAnsiTheme="majorHAnsi" w:cstheme="majorHAnsi"/>
          <w:lang w:val="es-ES"/>
        </w:rPr>
        <w:t>son únicos d</w:t>
      </w:r>
      <w:r w:rsidR="000F3B98" w:rsidRPr="00CD0C90">
        <w:rPr>
          <w:rFonts w:asciiTheme="majorHAnsi" w:hAnsiTheme="majorHAnsi" w:cstheme="majorHAnsi"/>
          <w:lang w:val="es-ES"/>
        </w:rPr>
        <w:t xml:space="preserve">el </w:t>
      </w:r>
      <w:r w:rsidRPr="00CD0C90">
        <w:rPr>
          <w:rFonts w:asciiTheme="majorHAnsi" w:hAnsiTheme="majorHAnsi" w:cstheme="majorHAnsi"/>
          <w:lang w:val="es-ES"/>
        </w:rPr>
        <w:t>l</w:t>
      </w:r>
      <w:r w:rsidR="000F3B98" w:rsidRPr="00CD0C90">
        <w:rPr>
          <w:rFonts w:asciiTheme="majorHAnsi" w:hAnsiTheme="majorHAnsi" w:cstheme="majorHAnsi"/>
          <w:lang w:val="es-ES"/>
        </w:rPr>
        <w:t xml:space="preserve">egislativo sino que atraviesan también la coordinación intraejecutiva. </w:t>
      </w:r>
      <w:r w:rsidRPr="00CD0C90">
        <w:rPr>
          <w:rFonts w:asciiTheme="majorHAnsi" w:hAnsiTheme="majorHAnsi" w:cstheme="majorHAnsi"/>
          <w:lang w:val="es-ES"/>
        </w:rPr>
        <w:t>L</w:t>
      </w:r>
      <w:r w:rsidR="000F3B98" w:rsidRPr="00CD0C90">
        <w:rPr>
          <w:rFonts w:asciiTheme="majorHAnsi" w:hAnsiTheme="majorHAnsi" w:cstheme="majorHAnsi"/>
          <w:lang w:val="es-ES"/>
        </w:rPr>
        <w:t>a aprobación en primer debate de una reforma a las tarifas de energía y gas impulsada por una alianza de senadores oficialistas y de oposición</w:t>
      </w:r>
      <w:r w:rsidRPr="00CD0C90">
        <w:rPr>
          <w:rFonts w:asciiTheme="majorHAnsi" w:hAnsiTheme="majorHAnsi" w:cstheme="majorHAnsi"/>
          <w:lang w:val="es-ES"/>
        </w:rPr>
        <w:t xml:space="preserve">, una </w:t>
      </w:r>
      <w:r w:rsidR="000F3B98" w:rsidRPr="00CD0C90">
        <w:rPr>
          <w:rFonts w:asciiTheme="majorHAnsi" w:hAnsiTheme="majorHAnsi" w:cstheme="majorHAnsi"/>
          <w:lang w:val="es-ES"/>
        </w:rPr>
        <w:t xml:space="preserve">iniciativa que el Gobierno </w:t>
      </w:r>
      <w:r w:rsidRPr="00CD0C90">
        <w:rPr>
          <w:rFonts w:asciiTheme="majorHAnsi" w:hAnsiTheme="majorHAnsi" w:cstheme="majorHAnsi"/>
          <w:lang w:val="es-ES"/>
        </w:rPr>
        <w:t>no presentó formalmente, permite ver</w:t>
      </w:r>
      <w:r w:rsidR="000F3B98" w:rsidRPr="00CD0C90">
        <w:rPr>
          <w:rFonts w:asciiTheme="majorHAnsi" w:hAnsiTheme="majorHAnsi" w:cstheme="majorHAnsi"/>
          <w:lang w:val="es-ES"/>
        </w:rPr>
        <w:t xml:space="preserve"> cómo, ante la ausencia de una agenda ministerial proactiva</w:t>
      </w:r>
      <w:r w:rsidRPr="00CD0C90">
        <w:rPr>
          <w:rFonts w:asciiTheme="majorHAnsi" w:hAnsiTheme="majorHAnsi" w:cstheme="majorHAnsi"/>
          <w:lang w:val="es-ES"/>
        </w:rPr>
        <w:t xml:space="preserve">, </w:t>
      </w:r>
      <w:r w:rsidR="000F3B98" w:rsidRPr="00CD0C90">
        <w:rPr>
          <w:rFonts w:asciiTheme="majorHAnsi" w:hAnsiTheme="majorHAnsi" w:cstheme="majorHAnsi"/>
          <w:lang w:val="es-ES"/>
        </w:rPr>
        <w:t>sostenida</w:t>
      </w:r>
      <w:r w:rsidRPr="00CD0C90">
        <w:rPr>
          <w:rFonts w:asciiTheme="majorHAnsi" w:hAnsiTheme="majorHAnsi" w:cstheme="majorHAnsi"/>
          <w:lang w:val="es-ES"/>
        </w:rPr>
        <w:t xml:space="preserve"> y estratégica</w:t>
      </w:r>
      <w:r w:rsidR="000F3B98" w:rsidRPr="00CD0C90">
        <w:rPr>
          <w:rFonts w:asciiTheme="majorHAnsi" w:hAnsiTheme="majorHAnsi" w:cstheme="majorHAnsi"/>
          <w:lang w:val="es-ES"/>
        </w:rPr>
        <w:t>, el Congreso puede llegar a capturar la iniciativa regulatoria en asuntos sensibles para el sector, actuando con lógicas propias, desarticuladas de la hoja de ruta del MME (La Silla Vacía, 2025).</w:t>
      </w:r>
    </w:p>
    <w:p w14:paraId="3A510B35" w14:textId="755B1F61" w:rsidR="000F3B98" w:rsidRPr="00CD0C90" w:rsidRDefault="000F3B98" w:rsidP="00CD0C90">
      <w:pPr>
        <w:pStyle w:val="Ttulo3"/>
        <w:spacing w:line="276" w:lineRule="auto"/>
        <w:rPr>
          <w:rFonts w:asciiTheme="majorHAnsi" w:hAnsiTheme="majorHAnsi" w:cstheme="majorHAnsi"/>
          <w:sz w:val="22"/>
          <w:szCs w:val="22"/>
          <w:lang w:val="es-ES"/>
        </w:rPr>
      </w:pPr>
      <w:bookmarkStart w:id="24" w:name="_Toc234920359"/>
      <w:r w:rsidRPr="00CD0C90">
        <w:rPr>
          <w:rFonts w:asciiTheme="majorHAnsi" w:hAnsiTheme="majorHAnsi" w:cstheme="majorHAnsi"/>
          <w:sz w:val="22"/>
          <w:szCs w:val="22"/>
          <w:lang w:val="es-ES"/>
        </w:rPr>
        <w:t>1.1.4 Múltiples veto players</w:t>
      </w:r>
      <w:r w:rsidR="00CD0C90" w:rsidRPr="00CD0C90">
        <w:rPr>
          <w:rFonts w:asciiTheme="majorHAnsi" w:hAnsiTheme="majorHAnsi" w:cstheme="majorHAnsi"/>
          <w:sz w:val="22"/>
          <w:szCs w:val="22"/>
          <w:lang w:val="es-ES"/>
        </w:rPr>
        <w:t xml:space="preserve"> y altos</w:t>
      </w:r>
      <w:r w:rsidRPr="00CD0C90">
        <w:rPr>
          <w:rFonts w:asciiTheme="majorHAnsi" w:hAnsiTheme="majorHAnsi" w:cstheme="majorHAnsi"/>
          <w:sz w:val="22"/>
          <w:szCs w:val="22"/>
          <w:lang w:val="es-ES"/>
        </w:rPr>
        <w:t xml:space="preserve"> costos de agencia</w:t>
      </w:r>
      <w:r w:rsidR="00CD0C90" w:rsidRPr="00CD0C90">
        <w:rPr>
          <w:rFonts w:asciiTheme="majorHAnsi" w:hAnsiTheme="majorHAnsi" w:cstheme="majorHAnsi"/>
          <w:sz w:val="22"/>
          <w:szCs w:val="22"/>
          <w:lang w:val="es-ES"/>
        </w:rPr>
        <w:t>miento</w:t>
      </w:r>
      <w:bookmarkEnd w:id="24"/>
    </w:p>
    <w:p w14:paraId="5227BEEE" w14:textId="5FBA0451" w:rsidR="000F3B98" w:rsidRPr="00CD0C90" w:rsidRDefault="000F3B98"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El modelo colombiano</w:t>
      </w:r>
      <w:r w:rsidR="00096E74" w:rsidRPr="00CD0C90">
        <w:rPr>
          <w:rFonts w:asciiTheme="majorHAnsi" w:hAnsiTheme="majorHAnsi" w:cstheme="majorHAnsi"/>
          <w:lang w:val="es-ES"/>
        </w:rPr>
        <w:t xml:space="preserve"> de relacionamiento entre el ejecutivo y el legislativo</w:t>
      </w:r>
      <w:r w:rsidRPr="00CD0C90">
        <w:rPr>
          <w:rFonts w:asciiTheme="majorHAnsi" w:hAnsiTheme="majorHAnsi" w:cstheme="majorHAnsi"/>
          <w:lang w:val="es-ES"/>
        </w:rPr>
        <w:t xml:space="preserve"> puede </w:t>
      </w:r>
      <w:r w:rsidR="00096E74" w:rsidRPr="00CD0C90">
        <w:rPr>
          <w:rFonts w:asciiTheme="majorHAnsi" w:hAnsiTheme="majorHAnsi" w:cstheme="majorHAnsi"/>
          <w:lang w:val="es-ES"/>
        </w:rPr>
        <w:t>entenderse</w:t>
      </w:r>
      <w:r w:rsidRPr="00CD0C90">
        <w:rPr>
          <w:rFonts w:asciiTheme="majorHAnsi" w:hAnsiTheme="majorHAnsi" w:cstheme="majorHAnsi"/>
          <w:lang w:val="es-ES"/>
        </w:rPr>
        <w:t xml:space="preserve"> como una</w:t>
      </w:r>
      <w:r w:rsidR="00096E74" w:rsidRPr="00CD0C90">
        <w:rPr>
          <w:rFonts w:asciiTheme="majorHAnsi" w:hAnsiTheme="majorHAnsi" w:cstheme="majorHAnsi"/>
          <w:lang w:val="es-ES"/>
        </w:rPr>
        <w:t xml:space="preserve"> especie</w:t>
      </w:r>
      <w:r w:rsidRPr="00CD0C90">
        <w:rPr>
          <w:rFonts w:asciiTheme="majorHAnsi" w:hAnsiTheme="majorHAnsi" w:cstheme="majorHAnsi"/>
          <w:lang w:val="es-ES"/>
        </w:rPr>
        <w:t xml:space="preserve"> cadena en la que </w:t>
      </w:r>
      <w:r w:rsidR="00096E74" w:rsidRPr="00CD0C90">
        <w:rPr>
          <w:rFonts w:asciiTheme="majorHAnsi" w:hAnsiTheme="majorHAnsi" w:cstheme="majorHAnsi"/>
          <w:lang w:val="es-ES"/>
        </w:rPr>
        <w:t xml:space="preserve">las iniciativas </w:t>
      </w:r>
      <w:r w:rsidRPr="00CD0C90">
        <w:rPr>
          <w:rFonts w:asciiTheme="majorHAnsi" w:hAnsiTheme="majorHAnsi" w:cstheme="majorHAnsi"/>
          <w:lang w:val="es-ES"/>
        </w:rPr>
        <w:t>presidencial</w:t>
      </w:r>
      <w:r w:rsidR="00096E74" w:rsidRPr="00CD0C90">
        <w:rPr>
          <w:rFonts w:asciiTheme="majorHAnsi" w:hAnsiTheme="majorHAnsi" w:cstheme="majorHAnsi"/>
          <w:lang w:val="es-ES"/>
        </w:rPr>
        <w:t>es</w:t>
      </w:r>
      <w:r w:rsidRPr="00CD0C90">
        <w:rPr>
          <w:rFonts w:asciiTheme="majorHAnsi" w:hAnsiTheme="majorHAnsi" w:cstheme="majorHAnsi"/>
          <w:lang w:val="es-ES"/>
        </w:rPr>
        <w:t xml:space="preserve"> </w:t>
      </w:r>
      <w:r w:rsidR="00096E74" w:rsidRPr="00CD0C90">
        <w:rPr>
          <w:rFonts w:asciiTheme="majorHAnsi" w:hAnsiTheme="majorHAnsi" w:cstheme="majorHAnsi"/>
          <w:lang w:val="es-ES"/>
        </w:rPr>
        <w:t>o</w:t>
      </w:r>
      <w:r w:rsidRPr="00CD0C90">
        <w:rPr>
          <w:rFonts w:asciiTheme="majorHAnsi" w:hAnsiTheme="majorHAnsi" w:cstheme="majorHAnsi"/>
          <w:lang w:val="es-ES"/>
        </w:rPr>
        <w:t xml:space="preserve"> ministerial</w:t>
      </w:r>
      <w:r w:rsidR="00096E74" w:rsidRPr="00CD0C90">
        <w:rPr>
          <w:rFonts w:asciiTheme="majorHAnsi" w:hAnsiTheme="majorHAnsi" w:cstheme="majorHAnsi"/>
          <w:lang w:val="es-ES"/>
        </w:rPr>
        <w:t>es</w:t>
      </w:r>
      <w:r w:rsidRPr="00CD0C90">
        <w:rPr>
          <w:rFonts w:asciiTheme="majorHAnsi" w:hAnsiTheme="majorHAnsi" w:cstheme="majorHAnsi"/>
          <w:lang w:val="es-ES"/>
        </w:rPr>
        <w:t xml:space="preserve"> </w:t>
      </w:r>
      <w:r w:rsidR="00096E74" w:rsidRPr="00CD0C90">
        <w:rPr>
          <w:rFonts w:asciiTheme="majorHAnsi" w:hAnsiTheme="majorHAnsi" w:cstheme="majorHAnsi"/>
          <w:lang w:val="es-ES"/>
        </w:rPr>
        <w:t>sobre</w:t>
      </w:r>
      <w:r w:rsidRPr="00CD0C90">
        <w:rPr>
          <w:rFonts w:asciiTheme="majorHAnsi" w:hAnsiTheme="majorHAnsi" w:cstheme="majorHAnsi"/>
          <w:lang w:val="es-ES"/>
        </w:rPr>
        <w:t xml:space="preserve"> la TEJ debe</w:t>
      </w:r>
      <w:r w:rsidR="00096E74" w:rsidRPr="00CD0C90">
        <w:rPr>
          <w:rFonts w:asciiTheme="majorHAnsi" w:hAnsiTheme="majorHAnsi" w:cstheme="majorHAnsi"/>
          <w:lang w:val="es-ES"/>
        </w:rPr>
        <w:t>n</w:t>
      </w:r>
      <w:r w:rsidRPr="00CD0C90">
        <w:rPr>
          <w:rFonts w:asciiTheme="majorHAnsi" w:hAnsiTheme="majorHAnsi" w:cstheme="majorHAnsi"/>
          <w:lang w:val="es-ES"/>
        </w:rPr>
        <w:t xml:space="preserve"> atravesar un Congreso </w:t>
      </w:r>
      <w:r w:rsidR="00096E74" w:rsidRPr="00CD0C90">
        <w:rPr>
          <w:rFonts w:asciiTheme="majorHAnsi" w:hAnsiTheme="majorHAnsi" w:cstheme="majorHAnsi"/>
          <w:lang w:val="es-ES"/>
        </w:rPr>
        <w:t>multipartidista</w:t>
      </w:r>
      <w:r w:rsidRPr="00CD0C90">
        <w:rPr>
          <w:rFonts w:asciiTheme="majorHAnsi" w:hAnsiTheme="majorHAnsi" w:cstheme="majorHAnsi"/>
          <w:lang w:val="es-ES"/>
        </w:rPr>
        <w:t xml:space="preserve">, cada una con capacidad de veto sobre distintos componentes de la agenda, antes de traducirse en resultados normativos. En esta cadena </w:t>
      </w:r>
      <w:r w:rsidR="00096E74" w:rsidRPr="00CD0C90">
        <w:rPr>
          <w:rFonts w:asciiTheme="majorHAnsi" w:hAnsiTheme="majorHAnsi" w:cstheme="majorHAnsi"/>
          <w:lang w:val="es-ES"/>
        </w:rPr>
        <w:t>existen</w:t>
      </w:r>
      <w:r w:rsidRPr="00CD0C90">
        <w:rPr>
          <w:rFonts w:asciiTheme="majorHAnsi" w:hAnsiTheme="majorHAnsi" w:cstheme="majorHAnsi"/>
          <w:lang w:val="es-ES"/>
        </w:rPr>
        <w:t xml:space="preserve"> tres tipos de actores de veto: </w:t>
      </w:r>
      <w:r w:rsidR="00096E74" w:rsidRPr="00CD0C90">
        <w:rPr>
          <w:rFonts w:asciiTheme="majorHAnsi" w:hAnsiTheme="majorHAnsi" w:cstheme="majorHAnsi"/>
          <w:lang w:val="es-ES"/>
        </w:rPr>
        <w:t xml:space="preserve">en primer lugar, </w:t>
      </w:r>
      <w:r w:rsidRPr="00CD0C90">
        <w:rPr>
          <w:rFonts w:asciiTheme="majorHAnsi" w:hAnsiTheme="majorHAnsi" w:cstheme="majorHAnsi"/>
          <w:lang w:val="es-ES"/>
        </w:rPr>
        <w:t>la oposición de centro-derecha, que ha bloqueado sistemáticamente los intentos de desmontar gradualmente los subsidios a los combustibles fósiles invocando el impacto inflacionario y fiscal de su eliminación</w:t>
      </w:r>
      <w:r w:rsidR="00096E74" w:rsidRPr="00CD0C90">
        <w:rPr>
          <w:rFonts w:asciiTheme="majorHAnsi" w:hAnsiTheme="majorHAnsi" w:cstheme="majorHAnsi"/>
          <w:lang w:val="es-ES"/>
        </w:rPr>
        <w:t xml:space="preserve">, </w:t>
      </w:r>
      <w:r w:rsidRPr="00CD0C90">
        <w:rPr>
          <w:rFonts w:asciiTheme="majorHAnsi" w:hAnsiTheme="majorHAnsi" w:cstheme="majorHAnsi"/>
          <w:lang w:val="es-ES"/>
        </w:rPr>
        <w:t xml:space="preserve">como se observó en el debate sobre el Proyecto de Ley 305 de 2023 Cámara, cuyo costo </w:t>
      </w:r>
      <w:r w:rsidRPr="00CD0C90">
        <w:rPr>
          <w:rFonts w:asciiTheme="majorHAnsi" w:hAnsiTheme="majorHAnsi" w:cstheme="majorHAnsi"/>
          <w:lang w:val="es-ES"/>
        </w:rPr>
        <w:lastRenderedPageBreak/>
        <w:t xml:space="preserve">fiscal estimado en 4,4 billones de pesos (0,27 % del PIB) fue determinante para su bloqueo (Ministerio de Hacienda y Crédito Público, 2024); </w:t>
      </w:r>
      <w:r w:rsidR="00096E74" w:rsidRPr="00CD0C90">
        <w:rPr>
          <w:rFonts w:asciiTheme="majorHAnsi" w:hAnsiTheme="majorHAnsi" w:cstheme="majorHAnsi"/>
          <w:lang w:val="es-ES"/>
        </w:rPr>
        <w:t xml:space="preserve">en segundo lugar, </w:t>
      </w:r>
      <w:r w:rsidRPr="00CD0C90">
        <w:rPr>
          <w:rFonts w:asciiTheme="majorHAnsi" w:hAnsiTheme="majorHAnsi" w:cstheme="majorHAnsi"/>
          <w:lang w:val="es-ES"/>
        </w:rPr>
        <w:t xml:space="preserve">los partidos con agenda ambiental más estricta, </w:t>
      </w:r>
      <w:r w:rsidR="00096E74" w:rsidRPr="00CD0C90">
        <w:rPr>
          <w:rFonts w:asciiTheme="majorHAnsi" w:hAnsiTheme="majorHAnsi" w:cstheme="majorHAnsi"/>
          <w:lang w:val="es-ES"/>
        </w:rPr>
        <w:t>que pueden</w:t>
      </w:r>
      <w:r w:rsidRPr="00CD0C90">
        <w:rPr>
          <w:rFonts w:asciiTheme="majorHAnsi" w:hAnsiTheme="majorHAnsi" w:cstheme="majorHAnsi"/>
          <w:lang w:val="es-ES"/>
        </w:rPr>
        <w:t xml:space="preserve"> inclinar la balanza en decisiones sobre infraestructura de transmisión y licenciamiento; </w:t>
      </w:r>
      <w:r w:rsidR="00096E74" w:rsidRPr="00CD0C90">
        <w:rPr>
          <w:rFonts w:asciiTheme="majorHAnsi" w:hAnsiTheme="majorHAnsi" w:cstheme="majorHAnsi"/>
          <w:lang w:val="es-ES"/>
        </w:rPr>
        <w:t>y en tercer lugar,</w:t>
      </w:r>
      <w:r w:rsidRPr="00CD0C90">
        <w:rPr>
          <w:rFonts w:asciiTheme="majorHAnsi" w:hAnsiTheme="majorHAnsi" w:cstheme="majorHAnsi"/>
          <w:lang w:val="es-ES"/>
        </w:rPr>
        <w:t xml:space="preserve"> las Comisiones Quinta del Senado y Sexta de la Cámara, que actúan como veto players institucionales </w:t>
      </w:r>
      <w:r w:rsidR="00096E74" w:rsidRPr="00CD0C90">
        <w:rPr>
          <w:rFonts w:asciiTheme="majorHAnsi" w:hAnsiTheme="majorHAnsi" w:cstheme="majorHAnsi"/>
          <w:lang w:val="es-ES"/>
        </w:rPr>
        <w:t>con la</w:t>
      </w:r>
      <w:r w:rsidRPr="00CD0C90">
        <w:rPr>
          <w:rFonts w:asciiTheme="majorHAnsi" w:hAnsiTheme="majorHAnsi" w:cstheme="majorHAnsi"/>
          <w:lang w:val="es-ES"/>
        </w:rPr>
        <w:t xml:space="preserve"> capacidad de dilatar el trámite hasta activar el archivo automático del artículo 190 de la Ley 5 de 1992.</w:t>
      </w:r>
    </w:p>
    <w:p w14:paraId="59D47FA9" w14:textId="03DE052D" w:rsidR="000F3B98" w:rsidRPr="00CD0C90" w:rsidRDefault="000F3B98"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El modelo de corrientes múltiples de Kingdon (2011) </w:t>
      </w:r>
      <w:r w:rsidR="0024662A" w:rsidRPr="00CD0C90">
        <w:rPr>
          <w:rFonts w:asciiTheme="majorHAnsi" w:hAnsiTheme="majorHAnsi" w:cstheme="majorHAnsi"/>
          <w:lang w:val="es-ES"/>
        </w:rPr>
        <w:t>señala que,</w:t>
      </w:r>
      <w:r w:rsidRPr="00CD0C90">
        <w:rPr>
          <w:rFonts w:asciiTheme="majorHAnsi" w:hAnsiTheme="majorHAnsi" w:cstheme="majorHAnsi"/>
          <w:lang w:val="es-ES"/>
        </w:rPr>
        <w:t xml:space="preserve"> a pesar de la existencia de </w:t>
      </w:r>
      <w:r w:rsidR="0024662A" w:rsidRPr="00CD0C90">
        <w:rPr>
          <w:rFonts w:asciiTheme="majorHAnsi" w:hAnsiTheme="majorHAnsi" w:cstheme="majorHAnsi"/>
          <w:lang w:val="es-ES"/>
        </w:rPr>
        <w:t xml:space="preserve">problemas en los que coinciden los actores, como </w:t>
      </w:r>
      <w:r w:rsidRPr="00CD0C90">
        <w:rPr>
          <w:rFonts w:asciiTheme="majorHAnsi" w:hAnsiTheme="majorHAnsi" w:cstheme="majorHAnsi"/>
          <w:lang w:val="es-ES"/>
        </w:rPr>
        <w:t>la elevada dependencia de hidrocarburos de la matriz energética y los compromisos climáticos internacionales de Colombia</w:t>
      </w:r>
      <w:r w:rsidR="0024662A" w:rsidRPr="00CD0C90">
        <w:rPr>
          <w:rFonts w:asciiTheme="majorHAnsi" w:hAnsiTheme="majorHAnsi" w:cstheme="majorHAnsi"/>
          <w:lang w:val="es-ES"/>
        </w:rPr>
        <w:t xml:space="preserve">, así como </w:t>
      </w:r>
      <w:r w:rsidRPr="00CD0C90">
        <w:rPr>
          <w:rFonts w:asciiTheme="majorHAnsi" w:hAnsiTheme="majorHAnsi" w:cstheme="majorHAnsi"/>
          <w:lang w:val="es-ES"/>
        </w:rPr>
        <w:t xml:space="preserve">de </w:t>
      </w:r>
      <w:r w:rsidR="0024662A" w:rsidRPr="00CD0C90">
        <w:rPr>
          <w:rFonts w:asciiTheme="majorHAnsi" w:hAnsiTheme="majorHAnsi" w:cstheme="majorHAnsi"/>
          <w:lang w:val="es-ES"/>
        </w:rPr>
        <w:t xml:space="preserve">la existencia de </w:t>
      </w:r>
      <w:r w:rsidRPr="00CD0C90">
        <w:rPr>
          <w:rFonts w:asciiTheme="majorHAnsi" w:hAnsiTheme="majorHAnsi" w:cstheme="majorHAnsi"/>
          <w:lang w:val="es-ES"/>
        </w:rPr>
        <w:t>políticas alternativas</w:t>
      </w:r>
      <w:r w:rsidR="0024662A" w:rsidRPr="00CD0C90">
        <w:rPr>
          <w:rFonts w:asciiTheme="majorHAnsi" w:hAnsiTheme="majorHAnsi" w:cstheme="majorHAnsi"/>
          <w:lang w:val="es-ES"/>
        </w:rPr>
        <w:t xml:space="preserve">, por ejemplo, las </w:t>
      </w:r>
      <w:r w:rsidRPr="00CD0C90">
        <w:rPr>
          <w:rFonts w:asciiTheme="majorHAnsi" w:hAnsiTheme="majorHAnsi" w:cstheme="majorHAnsi"/>
          <w:lang w:val="es-ES"/>
        </w:rPr>
        <w:t>comunidades energéticas, subastas de energías renovables y modernización del mercado eléctrico</w:t>
      </w:r>
      <w:r w:rsidR="00F44107" w:rsidRPr="00CD0C90">
        <w:rPr>
          <w:rFonts w:asciiTheme="majorHAnsi" w:hAnsiTheme="majorHAnsi" w:cstheme="majorHAnsi"/>
          <w:lang w:val="es-ES"/>
        </w:rPr>
        <w:t>;</w:t>
      </w:r>
      <w:r w:rsidRPr="00CD0C90">
        <w:rPr>
          <w:rFonts w:asciiTheme="majorHAnsi" w:hAnsiTheme="majorHAnsi" w:cstheme="majorHAnsi"/>
          <w:lang w:val="es-ES"/>
        </w:rPr>
        <w:t xml:space="preserve"> la fragmentación partidista, la proximidad de ciclos electorales y la ausencia de </w:t>
      </w:r>
      <w:r w:rsidR="00F44107" w:rsidRPr="00CD0C90">
        <w:rPr>
          <w:rFonts w:asciiTheme="majorHAnsi" w:hAnsiTheme="majorHAnsi" w:cstheme="majorHAnsi"/>
          <w:lang w:val="es-ES"/>
        </w:rPr>
        <w:t>una estrategia institucionalizada</w:t>
      </w:r>
      <w:r w:rsidRPr="00CD0C90">
        <w:rPr>
          <w:rFonts w:asciiTheme="majorHAnsi" w:hAnsiTheme="majorHAnsi" w:cstheme="majorHAnsi"/>
          <w:lang w:val="es-ES"/>
        </w:rPr>
        <w:t xml:space="preserve"> permanente </w:t>
      </w:r>
      <w:r w:rsidR="00F44107" w:rsidRPr="00CD0C90">
        <w:rPr>
          <w:rFonts w:asciiTheme="majorHAnsi" w:hAnsiTheme="majorHAnsi" w:cstheme="majorHAnsi"/>
          <w:lang w:val="es-ES"/>
        </w:rPr>
        <w:t>que logre</w:t>
      </w:r>
      <w:r w:rsidRPr="00CD0C90">
        <w:rPr>
          <w:rFonts w:asciiTheme="majorHAnsi" w:hAnsiTheme="majorHAnsi" w:cstheme="majorHAnsi"/>
          <w:lang w:val="es-ES"/>
        </w:rPr>
        <w:t xml:space="preserve"> acoplar </w:t>
      </w:r>
      <w:r w:rsidR="00F44107" w:rsidRPr="00CD0C90">
        <w:rPr>
          <w:rFonts w:asciiTheme="majorHAnsi" w:hAnsiTheme="majorHAnsi" w:cstheme="majorHAnsi"/>
          <w:lang w:val="es-ES"/>
        </w:rPr>
        <w:t>estos fenómenos</w:t>
      </w:r>
      <w:r w:rsidRPr="00CD0C90">
        <w:rPr>
          <w:rFonts w:asciiTheme="majorHAnsi" w:hAnsiTheme="majorHAnsi" w:cstheme="majorHAnsi"/>
          <w:lang w:val="es-ES"/>
        </w:rPr>
        <w:t xml:space="preserve"> en el momento oportuno</w:t>
      </w:r>
      <w:r w:rsidR="00F44107" w:rsidRPr="00CD0C90">
        <w:rPr>
          <w:rFonts w:asciiTheme="majorHAnsi" w:hAnsiTheme="majorHAnsi" w:cstheme="majorHAnsi"/>
          <w:lang w:val="es-ES"/>
        </w:rPr>
        <w:t>,</w:t>
      </w:r>
      <w:r w:rsidRPr="00CD0C90">
        <w:rPr>
          <w:rFonts w:asciiTheme="majorHAnsi" w:hAnsiTheme="majorHAnsi" w:cstheme="majorHAnsi"/>
          <w:lang w:val="es-ES"/>
        </w:rPr>
        <w:t xml:space="preserve"> explican por qué las ventanas de oportunidad que se abren (como la aprobación conciliada del proyecto de gas para VIS/VIP) tienden a cerrarse abruptamente por fallas de coordinación en etapas posteriores del proceso.</w:t>
      </w:r>
    </w:p>
    <w:p w14:paraId="7A4F3DF2" w14:textId="562BA4CE" w:rsidR="000F3B98" w:rsidRPr="00CD0C90" w:rsidRDefault="000F3B98"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Finalmente, la teoría principal-agente permite interpretar esta dinámica como un problema de agencia de doble nivel. Por un lado, el Congreso actúa como agente de la ciudadanía y debe rendir cuentas sobre el desempeño del </w:t>
      </w:r>
      <w:r w:rsidR="001D4B0A" w:rsidRPr="00CD0C90">
        <w:rPr>
          <w:rFonts w:asciiTheme="majorHAnsi" w:hAnsiTheme="majorHAnsi" w:cstheme="majorHAnsi"/>
          <w:lang w:val="es-ES"/>
        </w:rPr>
        <w:t>ejecutivo</w:t>
      </w:r>
      <w:r w:rsidRPr="00CD0C90">
        <w:rPr>
          <w:rFonts w:asciiTheme="majorHAnsi" w:hAnsiTheme="majorHAnsi" w:cstheme="majorHAnsi"/>
          <w:lang w:val="es-ES"/>
        </w:rPr>
        <w:t xml:space="preserve"> sectorial</w:t>
      </w:r>
      <w:r w:rsidR="00F44107" w:rsidRPr="00CD0C90">
        <w:rPr>
          <w:rFonts w:asciiTheme="majorHAnsi" w:hAnsiTheme="majorHAnsi" w:cstheme="majorHAnsi"/>
          <w:lang w:val="es-ES"/>
        </w:rPr>
        <w:t xml:space="preserve">, y, </w:t>
      </w:r>
      <w:r w:rsidRPr="00CD0C90">
        <w:rPr>
          <w:rFonts w:asciiTheme="majorHAnsi" w:hAnsiTheme="majorHAnsi" w:cstheme="majorHAnsi"/>
          <w:lang w:val="es-ES"/>
        </w:rPr>
        <w:t xml:space="preserve">por otro, dentro del </w:t>
      </w:r>
      <w:r w:rsidR="00F44107" w:rsidRPr="00CD0C90">
        <w:rPr>
          <w:rFonts w:asciiTheme="majorHAnsi" w:hAnsiTheme="majorHAnsi" w:cstheme="majorHAnsi"/>
          <w:lang w:val="es-ES"/>
        </w:rPr>
        <w:t>e</w:t>
      </w:r>
      <w:r w:rsidRPr="00CD0C90">
        <w:rPr>
          <w:rFonts w:asciiTheme="majorHAnsi" w:hAnsiTheme="majorHAnsi" w:cstheme="majorHAnsi"/>
          <w:lang w:val="es-ES"/>
        </w:rPr>
        <w:t xml:space="preserve">jecutivo, el MME actúa como agente del Presidente y de las prioridades programáticas de gobierno, </w:t>
      </w:r>
      <w:r w:rsidR="00F44107" w:rsidRPr="00CD0C90">
        <w:rPr>
          <w:rFonts w:asciiTheme="majorHAnsi" w:hAnsiTheme="majorHAnsi" w:cstheme="majorHAnsi"/>
          <w:lang w:val="es-ES"/>
        </w:rPr>
        <w:t>con el deber de</w:t>
      </w:r>
      <w:r w:rsidRPr="00CD0C90">
        <w:rPr>
          <w:rFonts w:asciiTheme="majorHAnsi" w:hAnsiTheme="majorHAnsi" w:cstheme="majorHAnsi"/>
          <w:lang w:val="es-ES"/>
        </w:rPr>
        <w:t xml:space="preserve"> anticipar y neutralizar las objeciones de otros principales relevantes, en particular el Ministerio de Hacienda en materia de aval fiscal (Ley 819 de 2003). </w:t>
      </w:r>
      <w:r w:rsidR="00F44107" w:rsidRPr="00CD0C90">
        <w:rPr>
          <w:rFonts w:asciiTheme="majorHAnsi" w:hAnsiTheme="majorHAnsi" w:cstheme="majorHAnsi"/>
          <w:lang w:val="es-ES"/>
        </w:rPr>
        <w:t>E</w:t>
      </w:r>
      <w:r w:rsidRPr="00CD0C90">
        <w:rPr>
          <w:rFonts w:asciiTheme="majorHAnsi" w:hAnsiTheme="majorHAnsi" w:cstheme="majorHAnsi"/>
          <w:lang w:val="es-ES"/>
        </w:rPr>
        <w:t xml:space="preserve">stas relaciones de agencia se ven </w:t>
      </w:r>
      <w:r w:rsidR="00F44107" w:rsidRPr="00CD0C90">
        <w:rPr>
          <w:rFonts w:asciiTheme="majorHAnsi" w:hAnsiTheme="majorHAnsi" w:cstheme="majorHAnsi"/>
          <w:lang w:val="es-ES"/>
        </w:rPr>
        <w:t>afectadas</w:t>
      </w:r>
      <w:r w:rsidRPr="00CD0C90">
        <w:rPr>
          <w:rFonts w:asciiTheme="majorHAnsi" w:hAnsiTheme="majorHAnsi" w:cstheme="majorHAnsi"/>
          <w:lang w:val="es-ES"/>
        </w:rPr>
        <w:t xml:space="preserve"> por asimetrías de información entre quien delega y quien ejecuta, así como por los costos de monitoreo necesarios para verificar el cumplimiento de los mandatos delegados (Str</w:t>
      </w:r>
      <w:r w:rsidR="00F44107" w:rsidRPr="00CD0C90">
        <w:rPr>
          <w:rFonts w:asciiTheme="majorHAnsi" w:hAnsiTheme="majorHAnsi" w:cstheme="majorHAnsi"/>
          <w:lang w:val="es-ES"/>
        </w:rPr>
        <w:t>o</w:t>
      </w:r>
      <w:r w:rsidRPr="00CD0C90">
        <w:rPr>
          <w:rFonts w:asciiTheme="majorHAnsi" w:hAnsiTheme="majorHAnsi" w:cstheme="majorHAnsi"/>
          <w:lang w:val="es-ES"/>
        </w:rPr>
        <w:t xml:space="preserve">m, 2000). En el caso </w:t>
      </w:r>
      <w:r w:rsidR="00F44107" w:rsidRPr="00CD0C90">
        <w:rPr>
          <w:rFonts w:asciiTheme="majorHAnsi" w:hAnsiTheme="majorHAnsi" w:cstheme="majorHAnsi"/>
          <w:lang w:val="es-ES"/>
        </w:rPr>
        <w:t>de estudio</w:t>
      </w:r>
      <w:r w:rsidRPr="00CD0C90">
        <w:rPr>
          <w:rFonts w:asciiTheme="majorHAnsi" w:hAnsiTheme="majorHAnsi" w:cstheme="majorHAnsi"/>
          <w:lang w:val="es-ES"/>
        </w:rPr>
        <w:t>, la ausencia de un equipo técnico dedicado a producir de manera sistemática estudios de impacto fiscal y social ex ante</w:t>
      </w:r>
      <w:r w:rsidR="00F44107" w:rsidRPr="00CD0C90">
        <w:rPr>
          <w:rFonts w:asciiTheme="majorHAnsi" w:hAnsiTheme="majorHAnsi" w:cstheme="majorHAnsi"/>
          <w:lang w:val="es-ES"/>
        </w:rPr>
        <w:t xml:space="preserve">, </w:t>
      </w:r>
      <w:r w:rsidRPr="00CD0C90">
        <w:rPr>
          <w:rFonts w:asciiTheme="majorHAnsi" w:hAnsiTheme="majorHAnsi" w:cstheme="majorHAnsi"/>
          <w:lang w:val="es-ES"/>
        </w:rPr>
        <w:t>que anticipen las objeciones de las comisiones, del Ministerio de Hacienda o de la propia Presidencia</w:t>
      </w:r>
      <w:r w:rsidR="00F44107" w:rsidRPr="00CD0C90">
        <w:rPr>
          <w:rFonts w:asciiTheme="majorHAnsi" w:hAnsiTheme="majorHAnsi" w:cstheme="majorHAnsi"/>
          <w:lang w:val="es-ES"/>
        </w:rPr>
        <w:t>,</w:t>
      </w:r>
      <w:r w:rsidRPr="00CD0C90">
        <w:rPr>
          <w:rFonts w:asciiTheme="majorHAnsi" w:hAnsiTheme="majorHAnsi" w:cstheme="majorHAnsi"/>
          <w:lang w:val="es-ES"/>
        </w:rPr>
        <w:t xml:space="preserve"> </w:t>
      </w:r>
      <w:r w:rsidR="00F44107" w:rsidRPr="00CD0C90">
        <w:rPr>
          <w:rFonts w:asciiTheme="majorHAnsi" w:hAnsiTheme="majorHAnsi" w:cstheme="majorHAnsi"/>
          <w:lang w:val="es-ES"/>
        </w:rPr>
        <w:t>incrementa</w:t>
      </w:r>
      <w:r w:rsidRPr="00CD0C90">
        <w:rPr>
          <w:rFonts w:asciiTheme="majorHAnsi" w:hAnsiTheme="majorHAnsi" w:cstheme="majorHAnsi"/>
          <w:lang w:val="es-ES"/>
        </w:rPr>
        <w:t xml:space="preserve"> los costos de agencia de cada iniciativa individual, obligando al Ministerio a negociar caso por caso, proyecto por proyecto y comisión por comisión, sin que exista una curva de aprendizaje institucional acumulable de una legislatura a la siguiente</w:t>
      </w:r>
      <w:r w:rsidR="00423BCB" w:rsidRPr="00CD0C90">
        <w:rPr>
          <w:rFonts w:asciiTheme="majorHAnsi" w:hAnsiTheme="majorHAnsi" w:cstheme="majorHAnsi"/>
          <w:lang w:val="es-ES"/>
        </w:rPr>
        <w:t>, dificultando la existencia de un</w:t>
      </w:r>
      <w:r w:rsidRPr="00CD0C90">
        <w:rPr>
          <w:rFonts w:asciiTheme="majorHAnsi" w:hAnsiTheme="majorHAnsi" w:cstheme="majorHAnsi"/>
          <w:lang w:val="es-ES"/>
        </w:rPr>
        <w:t xml:space="preserve"> análisis estratégico legislativo </w:t>
      </w:r>
      <w:r w:rsidR="00423BCB" w:rsidRPr="00CD0C90">
        <w:rPr>
          <w:rFonts w:asciiTheme="majorHAnsi" w:hAnsiTheme="majorHAnsi" w:cstheme="majorHAnsi"/>
          <w:lang w:val="es-ES"/>
        </w:rPr>
        <w:t xml:space="preserve">institucional </w:t>
      </w:r>
      <w:r w:rsidRPr="00CD0C90">
        <w:rPr>
          <w:rFonts w:asciiTheme="majorHAnsi" w:hAnsiTheme="majorHAnsi" w:cstheme="majorHAnsi"/>
          <w:lang w:val="es-ES"/>
        </w:rPr>
        <w:t>dentro del Ministerio de Minas y Energía para acelerar la consolidación normativa de la política de transición energética justa.</w:t>
      </w:r>
    </w:p>
    <w:p w14:paraId="471DC743" w14:textId="1A11C525" w:rsidR="00222BBC" w:rsidRPr="00CD0C90" w:rsidRDefault="00F51464" w:rsidP="00CD0C90">
      <w:pPr>
        <w:pStyle w:val="Ttulo2"/>
        <w:spacing w:line="276" w:lineRule="auto"/>
        <w:rPr>
          <w:rFonts w:asciiTheme="majorHAnsi" w:hAnsiTheme="majorHAnsi" w:cstheme="majorHAnsi"/>
          <w:sz w:val="22"/>
          <w:szCs w:val="22"/>
        </w:rPr>
      </w:pPr>
      <w:bookmarkStart w:id="25" w:name="_Hlk234698337"/>
      <w:bookmarkStart w:id="26" w:name="_Toc234920360"/>
      <w:r w:rsidRPr="00CD0C90">
        <w:rPr>
          <w:rFonts w:asciiTheme="majorHAnsi" w:hAnsiTheme="majorHAnsi" w:cstheme="majorHAnsi"/>
          <w:sz w:val="22"/>
          <w:szCs w:val="22"/>
        </w:rPr>
        <w:t xml:space="preserve">1.2 </w:t>
      </w:r>
      <w:r w:rsidR="00222BBC" w:rsidRPr="00CD0C90">
        <w:rPr>
          <w:rFonts w:asciiTheme="majorHAnsi" w:hAnsiTheme="majorHAnsi" w:cstheme="majorHAnsi"/>
          <w:sz w:val="22"/>
          <w:szCs w:val="22"/>
        </w:rPr>
        <w:t>Análisis de la estrategia de relacionamiento legislativo del Ministerio de Minas y Energía</w:t>
      </w:r>
      <w:bookmarkEnd w:id="26"/>
      <w:r w:rsidR="00222BBC" w:rsidRPr="00CD0C90">
        <w:rPr>
          <w:rFonts w:asciiTheme="majorHAnsi" w:hAnsiTheme="majorHAnsi" w:cstheme="majorHAnsi"/>
          <w:sz w:val="22"/>
          <w:szCs w:val="22"/>
        </w:rPr>
        <w:t xml:space="preserve">    </w:t>
      </w:r>
    </w:p>
    <w:p w14:paraId="5C722895"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El análisis de las estrategias legislativas requiere inicialmente de algunas precisiones conceptuales sobre el presidencialismo de coalición: Mainwaring (1993) identificó el problema estructural de los sistemas que combinan presidencialismo, multipartidismo y democracia competitiva, argumentando que esta combinación genera dificultades sistémicas de gobernabilidad: el presidente carece de mayoría legislativa propia y debe construirla mediante la negociación permanente con múltiples partidos, cada uno con </w:t>
      </w:r>
      <w:r w:rsidRPr="00CD0C90">
        <w:rPr>
          <w:rFonts w:asciiTheme="majorHAnsi" w:hAnsiTheme="majorHAnsi" w:cstheme="majorHAnsi"/>
          <w:lang w:val="es-ES"/>
        </w:rPr>
        <w:lastRenderedPageBreak/>
        <w:t xml:space="preserve">agendas propias. En el contexto colombiano, este desafío se agrava por la alta fragmentación partidaria: el Congreso elegido en 2022 incluye representación efectiva de más de ocho partidos con posicionamientos ideológicos heterogéneos. </w:t>
      </w:r>
    </w:p>
    <w:p w14:paraId="228BD4C4"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En este mismo sentido, Bertranou (2015) distingue varias dimensiones de la capacidad estatal en cuanto al relacionamiento de los actores, entre las cuales se encuentra la "capacidad político-relacional", que es la habilidad estatal para construir coaliciones, obtener legitimidad social y articular consensos en torno a la acción pública. En este marco, la capacidad político-relacional del MME durante 2022-2026 ha estado condicionada por la alta rotación ministerial, que ha impedido la acumulación de capital relacional institucional. Cada nuevo ministro debió reconstruir sus propias redes con el Congreso, convirtiendo lo que debía ser una capacidad institucional en una capacidad personalista.</w:t>
      </w:r>
    </w:p>
    <w:p w14:paraId="696E279C"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Teniendo en cuenta estos conceptos, este apartado presenta un análisis del método de relacionamiento legislativo del sector minero-energético, con el fin de identificar las brechas entre su diseño y su implementación efectiva, para el período 2022-2026. </w:t>
      </w:r>
    </w:p>
    <w:p w14:paraId="41F285A8" w14:textId="1F091B26" w:rsidR="00222BBC" w:rsidRPr="00CD0C90" w:rsidRDefault="004724DF" w:rsidP="00CD0C90">
      <w:pPr>
        <w:pStyle w:val="Ttulo3"/>
        <w:spacing w:line="276" w:lineRule="auto"/>
        <w:rPr>
          <w:rFonts w:asciiTheme="majorHAnsi" w:hAnsiTheme="majorHAnsi" w:cstheme="majorHAnsi"/>
          <w:sz w:val="22"/>
          <w:szCs w:val="22"/>
        </w:rPr>
      </w:pPr>
      <w:bookmarkStart w:id="27" w:name="_Toc234920361"/>
      <w:r w:rsidRPr="00CD0C90">
        <w:rPr>
          <w:rFonts w:asciiTheme="majorHAnsi" w:hAnsiTheme="majorHAnsi" w:cstheme="majorHAnsi"/>
          <w:sz w:val="22"/>
          <w:szCs w:val="22"/>
          <w:lang w:val="es-ES"/>
        </w:rPr>
        <w:t xml:space="preserve">1.2.1 </w:t>
      </w:r>
      <w:r w:rsidR="00222BBC" w:rsidRPr="00CD0C90">
        <w:rPr>
          <w:rFonts w:asciiTheme="majorHAnsi" w:hAnsiTheme="majorHAnsi" w:cstheme="majorHAnsi"/>
          <w:sz w:val="22"/>
          <w:szCs w:val="22"/>
        </w:rPr>
        <w:t>Contexto político-legislativo</w:t>
      </w:r>
      <w:bookmarkEnd w:id="27"/>
    </w:p>
    <w:p w14:paraId="0FFE4CC9"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La estrategia de relacionamiento legislativo del MME ha operado en un contexto político que limita sus posibilidades de éxito. El Congreso elegido en marzo de 2022 configuraba una minoría legislativa para el gobierno desde su inicio: el Pacto Histórico, el partido de gobierno, obtuvo apenas 20 senadores de un total de 108 y 26 representantes de 188, lo que representaba el 18,5% del Senado y el 13,8% de la Cámara. Esta distribución hacía imposible aprobar cualquier iniciativa legislativa sin el concurso de al menos tres de los cuatro partidos tradicionales, ninguno de los cuales compartía plenamente la agenda de transformación estructural del sector energético que la transición energética justa implica. </w:t>
      </w:r>
    </w:p>
    <w:p w14:paraId="29D46AD3"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Sin embargo, este escenario político se redefinió con la ruptura de la coalición de gobierno en abril de 2023. La derrota de la reforma a la salud en la Comisión Séptima de la Cámara (votación 10-8) llevó al Presidente Gustavo Petro a declarar el fin de la coalición con los partidos Liberal, Conservador, La U y Cambio Radical, quienes pasaron a una posición de independencia frente al gobierno. Esta ruptura tuvo consecuencias directas sobre la viabilidad de la agenda legislativa del MME: lo que era partido de gobierno pasó a ser independiente u opositor prácticamente de un día para el otro, invalidando el análisis composicional previo y obligando a una reconversión de la estrategia de coalición de gobierno a coalición temática proyecto por proyecto, en un juego de disputa de intereses marcados. </w:t>
      </w:r>
    </w:p>
    <w:p w14:paraId="5512F625"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Otro factor que ha afectado significativamente el contexto administrativo ha sido la rotación ministerial del gobierno Petro. Con 57 ministros en tres años de gobierno (Infobae, 2025), la discontinuidad institucional fue estructural, no excepcional. En los primeros 22 meses del mandato se produjeron 15 cambios ministeriales (Bloomberg Línea, 2024). En el caso específico del MME, la sucesión de titulares implicó que las redes de relacionamiento legislativo construidas por cada ministro debían reconstruirse </w:t>
      </w:r>
      <w:r w:rsidRPr="00CD0C90">
        <w:rPr>
          <w:rFonts w:asciiTheme="majorHAnsi" w:hAnsiTheme="majorHAnsi" w:cstheme="majorHAnsi"/>
          <w:lang w:val="es-ES"/>
        </w:rPr>
        <w:lastRenderedPageBreak/>
        <w:t xml:space="preserve">con cada cambio, convirtiendo de facto la estrategia institucional en una práctica personalista que se reiniciaba con cada nueva conducción ministerial. Esta dinámica es el principal disruptor empírico de la estrategia y, al mismo tiempo, la manifestación más contundente de la debilidad estructural que la hipótesis doctoral identifica. </w:t>
      </w:r>
    </w:p>
    <w:p w14:paraId="5379CCF2"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A estas condiciones se sumaron las tensiones intraejecutivas que incidieron en la coherencia de la posición del MME frente al Congreso. La declaración del Presidente Petro en enero de 2024 sobre la suspensión de nuevos contratos de exploración de hidrocarburos tensionó la relación con partidos que representan departamentos petroleros. La caída del 7,8% en la producción de gas en 2023 y el conflicto entre el MME y el Ministerio de Hacienda sobre la política de hidrocarburos fragmentaron la coherencia del mensaje del ejecutivo ante el Congreso. El estudio de Taylor et al. (2025) documenta que el entonces Ministro de Minas, Andrés Camacho, evitaba respuestas concretas sobre los nuevos contratos ante el Congreso, mientras afirmaba públicamente que la transición es con la industria. Esta ambigüedad narrativa revela que el componente reputacional de la estrategia, es decir, el posicionamiento de la narrativa del sector minero-energético en el imaginario de los congresistas, no pudo funcionar efectivamente porque no existía una narrativa dentro del ejecutivo coherente que posicionar.</w:t>
      </w:r>
    </w:p>
    <w:p w14:paraId="02B84226" w14:textId="553064D9" w:rsidR="00222BBC" w:rsidRPr="00CD0C90" w:rsidRDefault="004724DF" w:rsidP="00CD0C90">
      <w:pPr>
        <w:pStyle w:val="Ttulo3"/>
        <w:spacing w:line="276" w:lineRule="auto"/>
        <w:rPr>
          <w:rFonts w:asciiTheme="majorHAnsi" w:hAnsiTheme="majorHAnsi" w:cstheme="majorHAnsi"/>
          <w:sz w:val="22"/>
          <w:szCs w:val="22"/>
        </w:rPr>
      </w:pPr>
      <w:bookmarkStart w:id="28" w:name="_Toc234920362"/>
      <w:r w:rsidRPr="00CD0C90">
        <w:rPr>
          <w:rFonts w:asciiTheme="majorHAnsi" w:hAnsiTheme="majorHAnsi" w:cstheme="majorHAnsi"/>
          <w:sz w:val="22"/>
          <w:szCs w:val="22"/>
          <w:lang w:val="es-ES"/>
        </w:rPr>
        <w:t xml:space="preserve">1.2.2 </w:t>
      </w:r>
      <w:r w:rsidR="00222BBC" w:rsidRPr="00CD0C90">
        <w:rPr>
          <w:rFonts w:asciiTheme="majorHAnsi" w:hAnsiTheme="majorHAnsi" w:cstheme="majorHAnsi"/>
          <w:sz w:val="22"/>
          <w:szCs w:val="22"/>
        </w:rPr>
        <w:t>Evaluación de los componentes del método de relacionamiento legislativo</w:t>
      </w:r>
      <w:bookmarkEnd w:id="28"/>
    </w:p>
    <w:p w14:paraId="7B6691B4" w14:textId="28F0A133" w:rsidR="004724DF" w:rsidRPr="00CD0C90" w:rsidRDefault="00222BBC" w:rsidP="00CD0C90">
      <w:pPr>
        <w:pStyle w:val="Prrafodelista"/>
        <w:numPr>
          <w:ilvl w:val="0"/>
          <w:numId w:val="65"/>
        </w:numPr>
        <w:pBdr>
          <w:top w:val="nil"/>
          <w:left w:val="nil"/>
          <w:bottom w:val="nil"/>
          <w:right w:val="nil"/>
          <w:between w:val="nil"/>
        </w:pBdr>
        <w:spacing w:before="240" w:after="0"/>
        <w:ind w:left="426" w:hanging="426"/>
        <w:jc w:val="both"/>
        <w:rPr>
          <w:rFonts w:asciiTheme="majorHAnsi" w:hAnsiTheme="majorHAnsi" w:cstheme="majorHAnsi"/>
          <w:lang w:val="es-ES"/>
        </w:rPr>
      </w:pPr>
      <w:r w:rsidRPr="00CD0C90">
        <w:rPr>
          <w:rFonts w:asciiTheme="majorHAnsi" w:hAnsiTheme="majorHAnsi" w:cstheme="majorHAnsi"/>
          <w:b/>
          <w:bCs/>
          <w:lang w:val="es-ES"/>
        </w:rPr>
        <w:t xml:space="preserve">Análisis composicional: </w:t>
      </w:r>
      <w:r w:rsidRPr="00CD0C90">
        <w:rPr>
          <w:rFonts w:asciiTheme="majorHAnsi" w:hAnsiTheme="majorHAnsi" w:cstheme="majorHAnsi"/>
          <w:lang w:val="es-ES"/>
        </w:rPr>
        <w:t>El documento del MME plantea un mapeo de tres niveles analíticos: partido, tendencias internas e individuos, con una arquitectura sólida y alineada con lo que Mainwaring (1993) señala sobre la necesidad de comprender el comportamiento legislativo más allá de las líneas partidarias formales. Sin embargo, el análisis composicional presenta tres tensiones críticas que limitan su efectividad. La primera es su carácter estático: el documento lo define como un paso previo al desarrollo de los demás componentes, pero no establece mecanismos de actualización periódica del mapeo político. La composición efectiva del Congreso colombiano cambió radicalmente tras la ruptura de la coalición en abril de 2023, invalidando las coordenadas previas. Un análisis composicional sin actualización dinámica reproduce el problema que pretende resolver. La segunda tensión es la ausencia de un mapa territorial sistemático que conecte las prioridades energéticas del MME con los intereses regionales de congresistas específicos. La tercera es el punto ciego de las facciones internas del Pacto Histórico, cuyas tensiones afectaron la coherencia de los votos del propio partido de gobierno en temas energéticos.</w:t>
      </w:r>
    </w:p>
    <w:p w14:paraId="3264F047" w14:textId="77777777" w:rsidR="004724DF" w:rsidRPr="00CD0C90" w:rsidRDefault="004724DF" w:rsidP="00CD0C90">
      <w:pPr>
        <w:pStyle w:val="Prrafodelista"/>
        <w:pBdr>
          <w:top w:val="nil"/>
          <w:left w:val="nil"/>
          <w:bottom w:val="nil"/>
          <w:right w:val="nil"/>
          <w:between w:val="nil"/>
        </w:pBdr>
        <w:spacing w:before="240" w:after="0"/>
        <w:ind w:left="426"/>
        <w:jc w:val="both"/>
        <w:rPr>
          <w:rFonts w:asciiTheme="majorHAnsi" w:hAnsiTheme="majorHAnsi" w:cstheme="majorHAnsi"/>
          <w:lang w:val="es-ES"/>
        </w:rPr>
      </w:pPr>
    </w:p>
    <w:p w14:paraId="149A8BE0" w14:textId="77777777" w:rsidR="004724DF" w:rsidRPr="00CD0C90" w:rsidRDefault="00222BBC" w:rsidP="00CD0C90">
      <w:pPr>
        <w:pStyle w:val="Prrafodelista"/>
        <w:numPr>
          <w:ilvl w:val="0"/>
          <w:numId w:val="65"/>
        </w:numPr>
        <w:pBdr>
          <w:top w:val="nil"/>
          <w:left w:val="nil"/>
          <w:bottom w:val="nil"/>
          <w:right w:val="nil"/>
          <w:between w:val="nil"/>
        </w:pBdr>
        <w:spacing w:before="240" w:after="0"/>
        <w:ind w:left="426" w:hanging="426"/>
        <w:jc w:val="both"/>
        <w:rPr>
          <w:rFonts w:asciiTheme="majorHAnsi" w:hAnsiTheme="majorHAnsi" w:cstheme="majorHAnsi"/>
          <w:lang w:val="es-ES"/>
        </w:rPr>
      </w:pPr>
      <w:r w:rsidRPr="00CD0C90">
        <w:rPr>
          <w:rFonts w:asciiTheme="majorHAnsi" w:hAnsiTheme="majorHAnsi" w:cstheme="majorHAnsi"/>
          <w:b/>
          <w:bCs/>
          <w:lang w:val="es-ES"/>
        </w:rPr>
        <w:t xml:space="preserve">Monitoreo: </w:t>
      </w:r>
      <w:r w:rsidRPr="00CD0C90">
        <w:rPr>
          <w:rFonts w:asciiTheme="majorHAnsi" w:hAnsiTheme="majorHAnsi" w:cstheme="majorHAnsi"/>
          <w:lang w:val="es-ES"/>
        </w:rPr>
        <w:t xml:space="preserve">Los tres mecanismos propuestos en la estrategia legislativa (presencia activa en comisiones, consulta de repositorios de información e intercambio con UTL y presidentes de comisión) permiten mantener una priorización de recursos y una distinción entre los espacios que requieren una presencia permanente (Comisiones Quinta y Sexta, plenarias) e intermitente. No obstante, el problema central del monitoreo está en que el sistema depende de los equipos que cada ministro designe. Con tres ministros en cuatro años en el MME, la memoria institucional del </w:t>
      </w:r>
      <w:r w:rsidRPr="00CD0C90">
        <w:rPr>
          <w:rFonts w:asciiTheme="majorHAnsi" w:hAnsiTheme="majorHAnsi" w:cstheme="majorHAnsi"/>
          <w:lang w:val="es-ES"/>
        </w:rPr>
        <w:lastRenderedPageBreak/>
        <w:t>monitoreo se fragmenta con cada cambio. Herramientas como Congreso Visible registran iniciativas y votaciones, pero no capturan la dinámica informal de los debates ni los acuerdos que se construyen fuera de los espacios formales, dimensiones para las cuales el intercambio directo con las UTL es insustituible. Es necesario fortalecer la arquitectura institucional para sostener el diseño de la estrategia analítica legislativa.</w:t>
      </w:r>
    </w:p>
    <w:p w14:paraId="07F4CF18" w14:textId="77777777" w:rsidR="004724DF" w:rsidRPr="00CD0C90" w:rsidRDefault="004724DF" w:rsidP="00CD0C90">
      <w:pPr>
        <w:pStyle w:val="Prrafodelista"/>
        <w:rPr>
          <w:rFonts w:asciiTheme="majorHAnsi" w:hAnsiTheme="majorHAnsi" w:cstheme="majorHAnsi"/>
          <w:b/>
          <w:bCs/>
          <w:lang w:val="es-ES"/>
        </w:rPr>
      </w:pPr>
    </w:p>
    <w:p w14:paraId="0B6D8F95" w14:textId="77777777" w:rsidR="004724DF" w:rsidRPr="00CD0C90" w:rsidRDefault="00222BBC" w:rsidP="00CD0C90">
      <w:pPr>
        <w:pStyle w:val="Prrafodelista"/>
        <w:numPr>
          <w:ilvl w:val="0"/>
          <w:numId w:val="65"/>
        </w:numPr>
        <w:pBdr>
          <w:top w:val="nil"/>
          <w:left w:val="nil"/>
          <w:bottom w:val="nil"/>
          <w:right w:val="nil"/>
          <w:between w:val="nil"/>
        </w:pBdr>
        <w:spacing w:before="240" w:after="0"/>
        <w:ind w:left="426" w:hanging="426"/>
        <w:jc w:val="both"/>
        <w:rPr>
          <w:rFonts w:asciiTheme="majorHAnsi" w:hAnsiTheme="majorHAnsi" w:cstheme="majorHAnsi"/>
          <w:lang w:val="es-ES"/>
        </w:rPr>
      </w:pPr>
      <w:r w:rsidRPr="00CD0C90">
        <w:rPr>
          <w:rFonts w:asciiTheme="majorHAnsi" w:hAnsiTheme="majorHAnsi" w:cstheme="majorHAnsi"/>
          <w:b/>
          <w:bCs/>
          <w:lang w:val="es-ES"/>
        </w:rPr>
        <w:t>Relacionamiento:</w:t>
      </w:r>
      <w:r w:rsidRPr="00CD0C90">
        <w:rPr>
          <w:rFonts w:asciiTheme="majorHAnsi" w:hAnsiTheme="majorHAnsi" w:cstheme="majorHAnsi"/>
          <w:lang w:val="es-ES"/>
        </w:rPr>
        <w:t xml:space="preserve"> La tripartición en niveles técnico, político y reputacional es coherente con la definición de Rhodes (1990) sobre intercambio de recursos en redes de política pública. El nivel técnico (intercambio de estudios de impacto y conceptos con las UTL) se puede trasmitir a nivel institucional porque opera en el plano del análisis técnico-legal más que en el del capital político personal. El nivel político (diálogo con voceros de partido y presidentes de comisión) es el más vulnerable a la rotación ministerial y a los cambios en la presidencia de las comisiones al inicio de cada legislatura. El nivel reputacional es el más subestimado: la evidencia disponible muestra que el MME durante 2022-2026 enfrentó una crisis de coherencia narrativa, producida por las señales contradictorias del Presidente, el Ministerio de Hacienda y el propio MME, que afectó la credibilidad del posicionamiento ante el Congreso. Sin coherencia intraejecutiva, el nivel reputacional no puede funcionar efectivamente. </w:t>
      </w:r>
    </w:p>
    <w:p w14:paraId="0529FA02" w14:textId="77777777" w:rsidR="004724DF" w:rsidRPr="00CD0C90" w:rsidRDefault="004724DF" w:rsidP="00CD0C90">
      <w:pPr>
        <w:pStyle w:val="Prrafodelista"/>
        <w:rPr>
          <w:rFonts w:asciiTheme="majorHAnsi" w:hAnsiTheme="majorHAnsi" w:cstheme="majorHAnsi"/>
          <w:b/>
          <w:bCs/>
          <w:lang w:val="es-ES"/>
        </w:rPr>
      </w:pPr>
    </w:p>
    <w:p w14:paraId="499EC2AF" w14:textId="67769C16" w:rsidR="004724DF" w:rsidRPr="00CD0C90" w:rsidRDefault="00222BBC" w:rsidP="00CD0C90">
      <w:pPr>
        <w:pStyle w:val="Prrafodelista"/>
        <w:numPr>
          <w:ilvl w:val="0"/>
          <w:numId w:val="65"/>
        </w:numPr>
        <w:pBdr>
          <w:top w:val="nil"/>
          <w:left w:val="nil"/>
          <w:bottom w:val="nil"/>
          <w:right w:val="nil"/>
          <w:between w:val="nil"/>
        </w:pBdr>
        <w:spacing w:before="240" w:after="0"/>
        <w:ind w:left="426" w:hanging="426"/>
        <w:jc w:val="both"/>
        <w:rPr>
          <w:rFonts w:asciiTheme="majorHAnsi" w:hAnsiTheme="majorHAnsi" w:cstheme="majorHAnsi"/>
          <w:lang w:val="es-ES"/>
        </w:rPr>
      </w:pPr>
      <w:r w:rsidRPr="00CD0C90">
        <w:rPr>
          <w:rFonts w:asciiTheme="majorHAnsi" w:hAnsiTheme="majorHAnsi" w:cstheme="majorHAnsi"/>
          <w:b/>
          <w:bCs/>
          <w:lang w:val="es-ES"/>
        </w:rPr>
        <w:t>Gestión de amenazas:</w:t>
      </w:r>
      <w:r w:rsidRPr="00CD0C90">
        <w:rPr>
          <w:rFonts w:asciiTheme="majorHAnsi" w:hAnsiTheme="majorHAnsi" w:cstheme="majorHAnsi"/>
          <w:lang w:val="es-ES"/>
        </w:rPr>
        <w:t xml:space="preserve"> La Matriz de Riesgo </w:t>
      </w:r>
      <w:r w:rsidR="001D4B0A" w:rsidRPr="00CD0C90">
        <w:rPr>
          <w:rFonts w:asciiTheme="majorHAnsi" w:hAnsiTheme="majorHAnsi" w:cstheme="majorHAnsi"/>
          <w:lang w:val="es-ES"/>
        </w:rPr>
        <w:t>legislativo</w:t>
      </w:r>
      <w:r w:rsidRPr="00CD0C90">
        <w:rPr>
          <w:rFonts w:asciiTheme="majorHAnsi" w:hAnsiTheme="majorHAnsi" w:cstheme="majorHAnsi"/>
          <w:lang w:val="es-ES"/>
        </w:rPr>
        <w:t xml:space="preserve"> es un instrumento analítico que representa un avance significativo respecto a las prácticas ad hoc, sin embargo, la estrategia presenta una limitación conceptual: define las amenazas como iniciativas inconvenientes o discusiones políticas que carezcan de sustento técnico, sin distinguir entre amenazas a los intereses del sector privado minero-energético y amenazas a la política pública del MME, las cuales son categorías que en el gobierno Petro no siempre son convergentes, dado que la TEJ aspira precisamente a transformar la estructura de intereses del sector. Adicionalmente, el mecanismo de activación de terceros aliados para moderar las posturas radicales en las ponencias opera en una zona gris entre el lobby institucional legítimo del ejecutivo y el lobby gremial del sector privado, zona que en ausencia de regulación del cabildeo genera opacidad. El componente está íntegramente orientado a la contención reactiva, no a la construcción de consensos, lo que lo convierte en un sistema asimétrico e incompleto. </w:t>
      </w:r>
    </w:p>
    <w:p w14:paraId="6A9F9EB8" w14:textId="77777777" w:rsidR="004724DF" w:rsidRPr="00CD0C90" w:rsidRDefault="004724DF" w:rsidP="00CD0C90">
      <w:pPr>
        <w:pStyle w:val="Prrafodelista"/>
        <w:rPr>
          <w:rFonts w:asciiTheme="majorHAnsi" w:hAnsiTheme="majorHAnsi" w:cstheme="majorHAnsi"/>
          <w:b/>
          <w:bCs/>
          <w:lang w:val="es-ES"/>
        </w:rPr>
      </w:pPr>
    </w:p>
    <w:p w14:paraId="59AF6AA2" w14:textId="69324C1C" w:rsidR="00222BBC" w:rsidRPr="00CD0C90" w:rsidRDefault="00222BBC" w:rsidP="00CD0C90">
      <w:pPr>
        <w:pStyle w:val="Prrafodelista"/>
        <w:numPr>
          <w:ilvl w:val="0"/>
          <w:numId w:val="65"/>
        </w:numPr>
        <w:pBdr>
          <w:top w:val="nil"/>
          <w:left w:val="nil"/>
          <w:bottom w:val="nil"/>
          <w:right w:val="nil"/>
          <w:between w:val="nil"/>
        </w:pBdr>
        <w:spacing w:before="240" w:after="0"/>
        <w:ind w:left="426" w:hanging="426"/>
        <w:jc w:val="both"/>
        <w:rPr>
          <w:rFonts w:asciiTheme="majorHAnsi" w:hAnsiTheme="majorHAnsi" w:cstheme="majorHAnsi"/>
          <w:lang w:val="es-ES"/>
        </w:rPr>
      </w:pPr>
      <w:r w:rsidRPr="00CD0C90">
        <w:rPr>
          <w:rFonts w:asciiTheme="majorHAnsi" w:hAnsiTheme="majorHAnsi" w:cstheme="majorHAnsi"/>
          <w:b/>
          <w:bCs/>
          <w:lang w:val="es-ES"/>
        </w:rPr>
        <w:t>Colaboración:</w:t>
      </w:r>
      <w:r w:rsidRPr="00CD0C90">
        <w:rPr>
          <w:rFonts w:asciiTheme="majorHAnsi" w:hAnsiTheme="majorHAnsi" w:cstheme="majorHAnsi"/>
          <w:lang w:val="es-ES"/>
        </w:rPr>
        <w:t xml:space="preserve"> El componente de gobernanza territorial representa una fortaleza significativa frente al relacionamiento legislativo formal porque incorpora la dimensión territorial como instrumento de legitimidad política. La estrategia de transformar al congresista de fiscalizador en corresponsable del resultado territorial en las zonas de influencia de proyectos energéticos es políticamente inteligente y coherente con el cuarto pilar de la TEJ (la justicia territorial) definido en el Diagnóstico Base del MME (2024). No obstante, este componente enfrenta el riesgo de captura instrumental por parte de intereses empresariales: al involucrar al congresista en las mesas de trabajo con comunidades afectadas por proyectos energéticos, la estrategia puede convertirse en un mecanismo de </w:t>
      </w:r>
      <w:r w:rsidRPr="00CD0C90">
        <w:rPr>
          <w:rFonts w:asciiTheme="majorHAnsi" w:hAnsiTheme="majorHAnsi" w:cstheme="majorHAnsi"/>
          <w:lang w:val="es-ES"/>
        </w:rPr>
        <w:lastRenderedPageBreak/>
        <w:t>legitimación política de proyectos específicos más que en un instrumento de gobernanza territorial con enfoque de derechos.</w:t>
      </w:r>
    </w:p>
    <w:p w14:paraId="399ABBA4" w14:textId="4FEE7E49" w:rsidR="00222BBC" w:rsidRPr="00CD0C90" w:rsidRDefault="004724DF" w:rsidP="00CD0C90">
      <w:pPr>
        <w:pStyle w:val="Ttulo3"/>
        <w:spacing w:line="276" w:lineRule="auto"/>
        <w:rPr>
          <w:rFonts w:asciiTheme="majorHAnsi" w:hAnsiTheme="majorHAnsi" w:cstheme="majorHAnsi"/>
          <w:sz w:val="22"/>
          <w:szCs w:val="22"/>
        </w:rPr>
      </w:pPr>
      <w:bookmarkStart w:id="29" w:name="_Toc234920363"/>
      <w:r w:rsidRPr="00CD0C90">
        <w:rPr>
          <w:rFonts w:asciiTheme="majorHAnsi" w:hAnsiTheme="majorHAnsi" w:cstheme="majorHAnsi"/>
          <w:sz w:val="22"/>
          <w:szCs w:val="22"/>
          <w:lang w:val="es-ES"/>
        </w:rPr>
        <w:t xml:space="preserve">1.2.3 </w:t>
      </w:r>
      <w:r w:rsidR="00222BBC" w:rsidRPr="00CD0C90">
        <w:rPr>
          <w:rFonts w:asciiTheme="majorHAnsi" w:hAnsiTheme="majorHAnsi" w:cstheme="majorHAnsi"/>
          <w:sz w:val="22"/>
          <w:szCs w:val="22"/>
        </w:rPr>
        <w:t>Debilidades transversales</w:t>
      </w:r>
      <w:bookmarkEnd w:id="29"/>
    </w:p>
    <w:p w14:paraId="001D66E9"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La estrategia de análisis legislativo presenta cuatro debilidades importantes:</w:t>
      </w:r>
    </w:p>
    <w:p w14:paraId="0301B471"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La primera es la ausencia de métricas de evaluación: el documento no establece indicadores de éxito, líneas base ni mecanismos de evaluación de impacto, por lo que es importante que el MME pueda demostrar a través de estas métricas que su estrategia de relacionamiento legislativo ha contribuido a la aprobación de iniciativas de la TEJ. Sin métricas, esta demostración es imposible. </w:t>
      </w:r>
    </w:p>
    <w:p w14:paraId="73740494"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La segunda es la ausencia de un protocolo de gestión de cambios ministeriales: La rotación ministerial es el principal disruptor de la estrategia, como la evidencia empírica confirma con contundencia. La estrategia guarda silencio sobre cómo transferir el conocimiento y las relaciones acumuladas entre un ministro y el siguiente. Esta omisión convierte lo que pretende ser una estrategia institucional en una práctica personalista que se reinicia con cada cambio de titular. </w:t>
      </w:r>
    </w:p>
    <w:p w14:paraId="44E08C74"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La tercera debilidad es la ausencia de coordinación interinstitucional explícita con otras carteras del ejecutivo: El CONPES 4075 (2022) distribuye 97 acciones de TEJ en 18 entidades. La estrategia del MME no contempla mecanismos de coordinación de posiciones con Hacienda, Ambiente, Cancillería o la Presidencia de la República antes de presentarlas ante el Congreso. Esta carencia es especialmente crítica dado que las tensiones entre el MME y el Ministerio de Hacienda sobre la política de hidrocarburos fueron documentadas y públicas. </w:t>
      </w:r>
    </w:p>
    <w:p w14:paraId="75790AF0"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La cuarta debilidad es la ausencia de diferenciación explícita entre agenda legislativa ofensiva (iniciativas propias del MME que se busca aprobar) y agenda defensiva (iniciativas de otros actores que se busca modificar o bloquear). La estrategia mezcla ambas funciones sin establecer prioridades claras ni recursos diferenciados, lo que puede generar confusión en los equipos de implementación y dificultar la asignación estratégica de energía institucional.</w:t>
      </w:r>
    </w:p>
    <w:p w14:paraId="3FA5A05C" w14:textId="54D36AA2" w:rsidR="00222BBC" w:rsidRPr="00CD0C90" w:rsidRDefault="004724DF" w:rsidP="00CD0C90">
      <w:pPr>
        <w:pStyle w:val="Ttulo3"/>
        <w:spacing w:line="276" w:lineRule="auto"/>
        <w:rPr>
          <w:rFonts w:asciiTheme="majorHAnsi" w:hAnsiTheme="majorHAnsi" w:cstheme="majorHAnsi"/>
          <w:sz w:val="22"/>
          <w:szCs w:val="22"/>
          <w:lang w:val="es-ES"/>
        </w:rPr>
      </w:pPr>
      <w:bookmarkStart w:id="30" w:name="_Toc234920364"/>
      <w:r w:rsidRPr="00CD0C90">
        <w:rPr>
          <w:rFonts w:asciiTheme="majorHAnsi" w:hAnsiTheme="majorHAnsi" w:cstheme="majorHAnsi"/>
          <w:sz w:val="22"/>
          <w:szCs w:val="22"/>
        </w:rPr>
        <w:t>1.</w:t>
      </w:r>
      <w:r w:rsidR="00222BBC" w:rsidRPr="00CD0C90">
        <w:rPr>
          <w:rFonts w:asciiTheme="majorHAnsi" w:hAnsiTheme="majorHAnsi" w:cstheme="majorHAnsi"/>
          <w:sz w:val="22"/>
          <w:szCs w:val="22"/>
        </w:rPr>
        <w:t>2.4 Recomendaciones</w:t>
      </w:r>
      <w:bookmarkEnd w:id="30"/>
    </w:p>
    <w:p w14:paraId="5005B6F9"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Las siguientes recomendaciones se derivan del análisis crítico de la estrategia y apuntan a fortalecer la capacidad institucional del MME para el relacionamiento legislativo en el mediano plazo, con independencia del gobierno de turno:</w:t>
      </w:r>
    </w:p>
    <w:p w14:paraId="0649483A"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Recomendación 1: Formalizar un protocolo de actualización dinámica del análisis composicional. El mapeo político debe revisarse trimestralmente con base en el comportamiento legislativo observable: votaciones, intervenciones en debates, cambios de posición de partidos. Adicionalmente, el protocolo debe incluir un </w:t>
      </w:r>
      <w:r w:rsidRPr="00CD0C90">
        <w:rPr>
          <w:rFonts w:asciiTheme="majorHAnsi" w:hAnsiTheme="majorHAnsi" w:cstheme="majorHAnsi"/>
          <w:lang w:val="es-ES"/>
        </w:rPr>
        <w:lastRenderedPageBreak/>
        <w:t xml:space="preserve">mecanismo de actualización automática ante eventos disruptivos como rupturas de coalición, cambios de liderazgo en comisiones, o resultados de elecciones locales que reconfiguran los alineamientos políticos. </w:t>
      </w:r>
    </w:p>
    <w:p w14:paraId="44647D69"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Recomendación 2: Incorporar métricas de evaluación a la estrategia. Definir indicadores de resultado (número de proyectos aprobados por legislatura, tasa de éxito en debates de control político, tiempo promedio de trámite de proyectos prioritarios) e indicadores de proceso (número de reuniones técnicas con UTL, calidad del intercambio de información, cobertura del monitoreo). Estos indicadores deben reportarse anualmente y servir como insumo para ajustar la estrategia. </w:t>
      </w:r>
    </w:p>
    <w:p w14:paraId="5E2C02A7"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Recomendación 3: Diseñar un protocolo de transferencia de conocimiento ministerial. Ante cada cambio de ministro, activar un protocolo de entrega de gestión legislativa que incluya: estado detallado de los proyectos en trámite y sus perspectivas de aprobación, mapeo actualizado de relaciones con congresistas clave, agenda legislativa pendiente con fechas críticas, alertas de riesgo activas, y memoria de los compromisos adquiridos con congresistas o partidos. Este protocolo debe ser obligatorio y verificable. </w:t>
      </w:r>
    </w:p>
    <w:p w14:paraId="2AF13556" w14:textId="42CA6074"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Recomendación 4: Fortalecer el nivel reputacional con coherencia intraejecutiva. Antes de posicionar narrativas ante el Congreso, garantizar la alineación entre el MME, la Presidencia, el Ministerio de Hacienda y el Ministerio de Ambiente sobre los mensajes clave de la política de TEJ. La incoherencia intraejecutiva destruye la credibilidad del nivel reputacional de la estrategia y genera confusión en los congresistas que reciben mensajes contradictorios de diferentes carteras.</w:t>
      </w:r>
    </w:p>
    <w:p w14:paraId="5B8637F6" w14:textId="77777777" w:rsidR="00222BBC" w:rsidRPr="00CD0C90" w:rsidRDefault="00222BBC" w:rsidP="00CD0C90">
      <w:pPr>
        <w:jc w:val="both"/>
        <w:rPr>
          <w:rFonts w:asciiTheme="majorHAnsi" w:hAnsiTheme="majorHAnsi" w:cstheme="majorHAnsi"/>
          <w:lang w:val="es-ES"/>
        </w:rPr>
      </w:pPr>
    </w:p>
    <w:p w14:paraId="198B759E" w14:textId="0598F438" w:rsidR="00222BBC" w:rsidRPr="00CD0C90" w:rsidRDefault="00FF7AC3" w:rsidP="00CD0C90">
      <w:pPr>
        <w:pStyle w:val="Ttulo2"/>
        <w:numPr>
          <w:ilvl w:val="1"/>
          <w:numId w:val="67"/>
        </w:numPr>
        <w:spacing w:line="276" w:lineRule="auto"/>
        <w:rPr>
          <w:rFonts w:asciiTheme="majorHAnsi" w:hAnsiTheme="majorHAnsi" w:cstheme="majorHAnsi"/>
          <w:sz w:val="22"/>
          <w:szCs w:val="22"/>
        </w:rPr>
      </w:pPr>
      <w:bookmarkStart w:id="31" w:name="_Toc234920365"/>
      <w:bookmarkEnd w:id="25"/>
      <w:r w:rsidRPr="00CD0C90">
        <w:rPr>
          <w:rFonts w:asciiTheme="majorHAnsi" w:hAnsiTheme="majorHAnsi" w:cstheme="majorHAnsi"/>
          <w:sz w:val="22"/>
          <w:szCs w:val="22"/>
        </w:rPr>
        <w:t>Benchmarking</w:t>
      </w:r>
      <w:bookmarkEnd w:id="31"/>
    </w:p>
    <w:p w14:paraId="5B8953FA" w14:textId="073665A8" w:rsidR="00FF7AC3" w:rsidRPr="00CD0C90" w:rsidRDefault="00FF7AC3"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 xml:space="preserve">La Transición Energética Justa (TEJ) constituye uno de los desafíos de gobernanza más complejos del siglo XXI para los países en desarrollo. Su implementación no depende exclusivamente de la disponibilidad de recursos naturales o de la voluntad política del </w:t>
      </w:r>
      <w:r w:rsidR="001D4B0A" w:rsidRPr="00CD0C90">
        <w:rPr>
          <w:rFonts w:asciiTheme="majorHAnsi" w:hAnsiTheme="majorHAnsi" w:cstheme="majorHAnsi"/>
          <w:lang w:val="es-ES"/>
        </w:rPr>
        <w:t>ejecutivo</w:t>
      </w:r>
      <w:r w:rsidRPr="00CD0C90">
        <w:rPr>
          <w:rFonts w:asciiTheme="majorHAnsi" w:hAnsiTheme="majorHAnsi" w:cstheme="majorHAnsi"/>
          <w:lang w:val="es-ES"/>
        </w:rPr>
        <w:t xml:space="preserve">; requiere, ante todo, de una relación funcional y productiva entre el </w:t>
      </w:r>
      <w:r w:rsidR="001D4B0A" w:rsidRPr="00CD0C90">
        <w:rPr>
          <w:rFonts w:asciiTheme="majorHAnsi" w:hAnsiTheme="majorHAnsi" w:cstheme="majorHAnsi"/>
          <w:lang w:val="es-ES"/>
        </w:rPr>
        <w:t>ejecutivo</w:t>
      </w:r>
      <w:r w:rsidRPr="00CD0C90">
        <w:rPr>
          <w:rFonts w:asciiTheme="majorHAnsi" w:hAnsiTheme="majorHAnsi" w:cstheme="majorHAnsi"/>
          <w:lang w:val="es-ES"/>
        </w:rPr>
        <w:t xml:space="preserve"> y el </w:t>
      </w:r>
      <w:r w:rsidR="001D4B0A" w:rsidRPr="00CD0C90">
        <w:rPr>
          <w:rFonts w:asciiTheme="majorHAnsi" w:hAnsiTheme="majorHAnsi" w:cstheme="majorHAnsi"/>
          <w:lang w:val="es-ES"/>
        </w:rPr>
        <w:t>legislativo</w:t>
      </w:r>
      <w:r w:rsidRPr="00CD0C90">
        <w:rPr>
          <w:rFonts w:asciiTheme="majorHAnsi" w:hAnsiTheme="majorHAnsi" w:cstheme="majorHAnsi"/>
          <w:lang w:val="es-ES"/>
        </w:rPr>
        <w:t xml:space="preserve">. </w:t>
      </w:r>
    </w:p>
    <w:p w14:paraId="3E6782C0" w14:textId="465763A7" w:rsidR="00FF7AC3" w:rsidRPr="00CD0C90" w:rsidRDefault="00FF7AC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La pregunta central que orienta esta investigación exige ir más allá del diagnóstico institucional colombiano para examinar, de qué manera otros países han enfrentado los mismos desafíos de coordinación entre el </w:t>
      </w:r>
      <w:r w:rsidR="001D4B0A" w:rsidRPr="00CD0C90">
        <w:rPr>
          <w:rFonts w:asciiTheme="majorHAnsi" w:hAnsiTheme="majorHAnsi" w:cstheme="majorHAnsi"/>
          <w:lang w:val="es-ES"/>
        </w:rPr>
        <w:t>ejecutivo</w:t>
      </w:r>
      <w:r w:rsidRPr="00CD0C90">
        <w:rPr>
          <w:rFonts w:asciiTheme="majorHAnsi" w:hAnsiTheme="majorHAnsi" w:cstheme="majorHAnsi"/>
          <w:lang w:val="es-ES"/>
        </w:rPr>
        <w:t xml:space="preserve"> y el </w:t>
      </w:r>
      <w:r w:rsidR="001D4B0A" w:rsidRPr="00CD0C90">
        <w:rPr>
          <w:rFonts w:asciiTheme="majorHAnsi" w:hAnsiTheme="majorHAnsi" w:cstheme="majorHAnsi"/>
          <w:lang w:val="es-ES"/>
        </w:rPr>
        <w:t>legislativo</w:t>
      </w:r>
      <w:r w:rsidRPr="00CD0C90">
        <w:rPr>
          <w:rFonts w:asciiTheme="majorHAnsi" w:hAnsiTheme="majorHAnsi" w:cstheme="majorHAnsi"/>
          <w:lang w:val="es-ES"/>
        </w:rPr>
        <w:t xml:space="preserve"> en la formulación de políticas de transición energética justa. Por lo anterior, este capítulo desarrolla un ejercicio de benchmarking institucional a partir de cuatro casos seleccionados —Brasil, Chile, España y México— que permiten abordar la importancia del análisis estratégico legislativo en el relacionamiento con el Congreso desde el ejecutivo y sus efectos de cara a las políticas de transición energética. </w:t>
      </w:r>
    </w:p>
    <w:p w14:paraId="240FCCEE" w14:textId="35C78604" w:rsidR="00FF7AC3" w:rsidRPr="00CD0C90" w:rsidRDefault="00FF7AC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Este apartado aborda los casos de Brasil, Chile y México, como sistemas presidencialistas latinoamericanos con economías extractivas y se organiza en torno a cuatro dimensiones comparativas: (i) el grado de institucionalización de los mecanismos de coordinación ejecutivo-legislativo; (ii) las capacidades de análisis </w:t>
      </w:r>
      <w:r w:rsidRPr="00CD0C90">
        <w:rPr>
          <w:rFonts w:asciiTheme="majorHAnsi" w:hAnsiTheme="majorHAnsi" w:cstheme="majorHAnsi"/>
          <w:lang w:val="es-ES"/>
        </w:rPr>
        <w:lastRenderedPageBreak/>
        <w:t xml:space="preserve">estratégico legislativo en el </w:t>
      </w:r>
      <w:r w:rsidR="001D4B0A" w:rsidRPr="00CD0C90">
        <w:rPr>
          <w:rFonts w:asciiTheme="majorHAnsi" w:hAnsiTheme="majorHAnsi" w:cstheme="majorHAnsi"/>
          <w:lang w:val="es-ES"/>
        </w:rPr>
        <w:t>ejecutivo</w:t>
      </w:r>
      <w:r w:rsidRPr="00CD0C90">
        <w:rPr>
          <w:rFonts w:asciiTheme="majorHAnsi" w:hAnsiTheme="majorHAnsi" w:cstheme="majorHAnsi"/>
          <w:lang w:val="es-ES"/>
        </w:rPr>
        <w:t xml:space="preserve"> y en el </w:t>
      </w:r>
      <w:r w:rsidR="001D4B0A" w:rsidRPr="00CD0C90">
        <w:rPr>
          <w:rFonts w:asciiTheme="majorHAnsi" w:hAnsiTheme="majorHAnsi" w:cstheme="majorHAnsi"/>
          <w:lang w:val="es-ES"/>
        </w:rPr>
        <w:t>legislativo</w:t>
      </w:r>
      <w:r w:rsidRPr="00CD0C90">
        <w:rPr>
          <w:rFonts w:asciiTheme="majorHAnsi" w:hAnsiTheme="majorHAnsi" w:cstheme="majorHAnsi"/>
          <w:lang w:val="es-ES"/>
        </w:rPr>
        <w:t xml:space="preserve">; (iii) la estabilidad regulatoria de la política energética; y (iv) los resultados observables en la producción legislativa de transición energética. En cada caso se identifican las brechas respecto al escenario colombiano y las lecciones institucionales que son de gran importancia para el caso de estudio.  </w:t>
      </w:r>
    </w:p>
    <w:p w14:paraId="23F9046B" w14:textId="202EA3E1" w:rsidR="000F370F" w:rsidRPr="00CD0C90" w:rsidRDefault="004724DF" w:rsidP="00CD0C90">
      <w:pPr>
        <w:pStyle w:val="Ttulo3"/>
        <w:spacing w:line="276" w:lineRule="auto"/>
        <w:rPr>
          <w:rFonts w:asciiTheme="majorHAnsi" w:hAnsiTheme="majorHAnsi" w:cstheme="majorHAnsi"/>
          <w:sz w:val="22"/>
          <w:szCs w:val="22"/>
        </w:rPr>
      </w:pPr>
      <w:bookmarkStart w:id="32" w:name="_Hlk234682884"/>
      <w:bookmarkStart w:id="33" w:name="_Toc234920366"/>
      <w:r w:rsidRPr="00CD0C90">
        <w:rPr>
          <w:rFonts w:asciiTheme="majorHAnsi" w:hAnsiTheme="majorHAnsi" w:cstheme="majorHAnsi"/>
          <w:sz w:val="22"/>
          <w:szCs w:val="22"/>
        </w:rPr>
        <w:t>2</w:t>
      </w:r>
      <w:r w:rsidR="00FF7AC3" w:rsidRPr="00CD0C90">
        <w:rPr>
          <w:rFonts w:asciiTheme="majorHAnsi" w:hAnsiTheme="majorHAnsi" w:cstheme="majorHAnsi"/>
          <w:sz w:val="22"/>
          <w:szCs w:val="22"/>
        </w:rPr>
        <w:t>.1</w:t>
      </w:r>
      <w:r w:rsidR="00222BBC" w:rsidRPr="00CD0C90">
        <w:rPr>
          <w:rFonts w:asciiTheme="majorHAnsi" w:hAnsiTheme="majorHAnsi" w:cstheme="majorHAnsi"/>
          <w:sz w:val="22"/>
          <w:szCs w:val="22"/>
        </w:rPr>
        <w:t>.1</w:t>
      </w:r>
      <w:r w:rsidR="00FF7AC3" w:rsidRPr="00CD0C90">
        <w:rPr>
          <w:rFonts w:asciiTheme="majorHAnsi" w:hAnsiTheme="majorHAnsi" w:cstheme="majorHAnsi"/>
          <w:sz w:val="22"/>
          <w:szCs w:val="22"/>
        </w:rPr>
        <w:t xml:space="preserve"> Brasil: presidencialismo de coalición e institucionalización del análisis legislativo</w:t>
      </w:r>
      <w:bookmarkEnd w:id="33"/>
    </w:p>
    <w:p w14:paraId="54D6A3E4" w14:textId="37FE052A" w:rsidR="00622B8B" w:rsidRPr="00CD0C90" w:rsidRDefault="00622B8B"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El sistema político brasileño, </w:t>
      </w:r>
      <w:r w:rsidR="001D4B0A" w:rsidRPr="00CD0C90">
        <w:rPr>
          <w:rFonts w:asciiTheme="majorHAnsi" w:hAnsiTheme="majorHAnsi" w:cstheme="majorHAnsi"/>
          <w:lang w:val="es-ES"/>
        </w:rPr>
        <w:t>instaurado mediante</w:t>
      </w:r>
      <w:r w:rsidRPr="00CD0C90">
        <w:rPr>
          <w:rFonts w:asciiTheme="majorHAnsi" w:hAnsiTheme="majorHAnsi" w:cstheme="majorHAnsi"/>
          <w:lang w:val="es-ES"/>
        </w:rPr>
        <w:t xml:space="preserve"> la Constitución Federal de 1988 (art. 84), corresponde un presidencialismo de coalición</w:t>
      </w:r>
      <w:r w:rsidR="001D4B0A" w:rsidRPr="00CD0C90">
        <w:rPr>
          <w:rFonts w:asciiTheme="majorHAnsi" w:hAnsiTheme="majorHAnsi" w:cstheme="majorHAnsi"/>
          <w:lang w:val="es-ES"/>
        </w:rPr>
        <w:t xml:space="preserve"> (Figueiredo y Limongi, 1999),</w:t>
      </w:r>
      <w:r w:rsidRPr="00CD0C90">
        <w:rPr>
          <w:rFonts w:asciiTheme="majorHAnsi" w:hAnsiTheme="majorHAnsi" w:cstheme="majorHAnsi"/>
          <w:lang w:val="es-ES"/>
        </w:rPr>
        <w:t xml:space="preserve"> un arreglo institucional en el que el </w:t>
      </w:r>
      <w:r w:rsidR="001D4B0A" w:rsidRPr="00CD0C90">
        <w:rPr>
          <w:rFonts w:asciiTheme="majorHAnsi" w:hAnsiTheme="majorHAnsi" w:cstheme="majorHAnsi"/>
          <w:lang w:val="es-ES"/>
        </w:rPr>
        <w:t>ejecutivo</w:t>
      </w:r>
      <w:r w:rsidRPr="00CD0C90">
        <w:rPr>
          <w:rFonts w:asciiTheme="majorHAnsi" w:hAnsiTheme="majorHAnsi" w:cstheme="majorHAnsi"/>
          <w:lang w:val="es-ES"/>
        </w:rPr>
        <w:t xml:space="preserve"> controla la agenda legislativa </w:t>
      </w:r>
      <w:r w:rsidR="00717B21" w:rsidRPr="00CD0C90">
        <w:rPr>
          <w:rFonts w:asciiTheme="majorHAnsi" w:hAnsiTheme="majorHAnsi" w:cstheme="majorHAnsi"/>
          <w:lang w:val="es-ES"/>
        </w:rPr>
        <w:t>a través de</w:t>
      </w:r>
      <w:r w:rsidRPr="00CD0C90">
        <w:rPr>
          <w:rFonts w:asciiTheme="majorHAnsi" w:hAnsiTheme="majorHAnsi" w:cstheme="majorHAnsi"/>
          <w:lang w:val="es-ES"/>
        </w:rPr>
        <w:t xml:space="preserve"> medidas provisorias (art. 62 CF/88), regímenes de urgencia constitucional y la distribución de carteras ministeriales entre los partidos que integran la base de apoyo, sin que </w:t>
      </w:r>
      <w:r w:rsidR="00717B21" w:rsidRPr="00CD0C90">
        <w:rPr>
          <w:rFonts w:asciiTheme="majorHAnsi" w:hAnsiTheme="majorHAnsi" w:cstheme="majorHAnsi"/>
          <w:lang w:val="es-ES"/>
        </w:rPr>
        <w:t>esto</w:t>
      </w:r>
      <w:r w:rsidRPr="00CD0C90">
        <w:rPr>
          <w:rFonts w:asciiTheme="majorHAnsi" w:hAnsiTheme="majorHAnsi" w:cstheme="majorHAnsi"/>
          <w:lang w:val="es-ES"/>
        </w:rPr>
        <w:t xml:space="preserve"> elimine la necesidad de negociación permanente con el Congreso. El presidente nombra a los ministros que coordinan las políticas sectoriales, pero depende de esa base de apoyo, construida partido por partido, para convertir sus </w:t>
      </w:r>
      <w:r w:rsidR="00717B21" w:rsidRPr="00CD0C90">
        <w:rPr>
          <w:rFonts w:asciiTheme="majorHAnsi" w:hAnsiTheme="majorHAnsi" w:cstheme="majorHAnsi"/>
          <w:lang w:val="es-ES"/>
        </w:rPr>
        <w:t>iniciativas</w:t>
      </w:r>
      <w:r w:rsidRPr="00CD0C90">
        <w:rPr>
          <w:rFonts w:asciiTheme="majorHAnsi" w:hAnsiTheme="majorHAnsi" w:cstheme="majorHAnsi"/>
          <w:lang w:val="es-ES"/>
        </w:rPr>
        <w:t xml:space="preserve"> en leyes.</w:t>
      </w:r>
    </w:p>
    <w:p w14:paraId="495A415D" w14:textId="3F246196" w:rsidR="00622B8B" w:rsidRPr="00CD0C90" w:rsidRDefault="00622B8B"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Bajo la presidencia de Luiz Inácio Lula da Silva (2023-2026), esa base de apoyo integró al Partido dos Trabalhadores (PT) con un conjunto heterogéneo de partidos de centro y derecha</w:t>
      </w:r>
      <w:r w:rsidR="00717B21" w:rsidRPr="00CD0C90">
        <w:rPr>
          <w:rFonts w:asciiTheme="majorHAnsi" w:hAnsiTheme="majorHAnsi" w:cstheme="majorHAnsi"/>
          <w:lang w:val="es-ES"/>
        </w:rPr>
        <w:t xml:space="preserve">, </w:t>
      </w:r>
      <w:r w:rsidRPr="00CD0C90">
        <w:rPr>
          <w:rFonts w:asciiTheme="majorHAnsi" w:hAnsiTheme="majorHAnsi" w:cstheme="majorHAnsi"/>
          <w:lang w:val="es-ES"/>
        </w:rPr>
        <w:t xml:space="preserve">conocido como "Centrão", </w:t>
      </w:r>
      <w:r w:rsidR="00717B21" w:rsidRPr="00CD0C90">
        <w:rPr>
          <w:rFonts w:asciiTheme="majorHAnsi" w:hAnsiTheme="majorHAnsi" w:cstheme="majorHAnsi"/>
          <w:lang w:val="es-ES"/>
        </w:rPr>
        <w:t>que</w:t>
      </w:r>
      <w:r w:rsidRPr="00CD0C90">
        <w:rPr>
          <w:rFonts w:asciiTheme="majorHAnsi" w:hAnsiTheme="majorHAnsi" w:cstheme="majorHAnsi"/>
          <w:lang w:val="es-ES"/>
        </w:rPr>
        <w:t xml:space="preserve"> ha fluctuado a lo largo de la legislatura según las adhesiones y rupturas partidarias posteriores a cada elección</w:t>
      </w:r>
      <w:r w:rsidR="00717B21" w:rsidRPr="00CD0C90">
        <w:rPr>
          <w:rFonts w:asciiTheme="majorHAnsi" w:hAnsiTheme="majorHAnsi" w:cstheme="majorHAnsi"/>
          <w:lang w:val="es-ES"/>
        </w:rPr>
        <w:t>. E</w:t>
      </w:r>
      <w:r w:rsidRPr="00CD0C90">
        <w:rPr>
          <w:rFonts w:asciiTheme="majorHAnsi" w:hAnsiTheme="majorHAnsi" w:cstheme="majorHAnsi"/>
          <w:lang w:val="es-ES"/>
        </w:rPr>
        <w:t>l mecanismo distributivo que sostiene es</w:t>
      </w:r>
      <w:r w:rsidR="00717B21" w:rsidRPr="00CD0C90">
        <w:rPr>
          <w:rFonts w:asciiTheme="majorHAnsi" w:hAnsiTheme="majorHAnsi" w:cstheme="majorHAnsi"/>
          <w:lang w:val="es-ES"/>
        </w:rPr>
        <w:t>t</w:t>
      </w:r>
      <w:r w:rsidRPr="00CD0C90">
        <w:rPr>
          <w:rFonts w:asciiTheme="majorHAnsi" w:hAnsiTheme="majorHAnsi" w:cstheme="majorHAnsi"/>
          <w:lang w:val="es-ES"/>
        </w:rPr>
        <w:t>a coalición</w:t>
      </w:r>
      <w:r w:rsidR="00717B21" w:rsidRPr="00CD0C90">
        <w:rPr>
          <w:rFonts w:asciiTheme="majorHAnsi" w:hAnsiTheme="majorHAnsi" w:cstheme="majorHAnsi"/>
          <w:lang w:val="es-ES"/>
        </w:rPr>
        <w:t xml:space="preserve"> es</w:t>
      </w:r>
      <w:r w:rsidRPr="00CD0C90">
        <w:rPr>
          <w:rFonts w:asciiTheme="majorHAnsi" w:hAnsiTheme="majorHAnsi" w:cstheme="majorHAnsi"/>
          <w:lang w:val="es-ES"/>
        </w:rPr>
        <w:t xml:space="preserve"> la asignación de emendas parlamentares</w:t>
      </w:r>
      <w:r w:rsidR="00717B21" w:rsidRPr="00CD0C90">
        <w:rPr>
          <w:rFonts w:asciiTheme="majorHAnsi" w:hAnsiTheme="majorHAnsi" w:cstheme="majorHAnsi"/>
          <w:lang w:val="es-ES"/>
        </w:rPr>
        <w:t xml:space="preserve"> o </w:t>
      </w:r>
      <w:r w:rsidRPr="00CD0C90">
        <w:rPr>
          <w:rFonts w:asciiTheme="majorHAnsi" w:hAnsiTheme="majorHAnsi" w:cstheme="majorHAnsi"/>
          <w:lang w:val="es-ES"/>
        </w:rPr>
        <w:t>partidas presupuestarias de ejecución directa en los distritos y municipios</w:t>
      </w:r>
      <w:r w:rsidR="00717B21" w:rsidRPr="00CD0C90">
        <w:rPr>
          <w:rFonts w:asciiTheme="majorHAnsi" w:hAnsiTheme="majorHAnsi" w:cstheme="majorHAnsi"/>
          <w:lang w:val="es-ES"/>
        </w:rPr>
        <w:t>,</w:t>
      </w:r>
      <w:r w:rsidRPr="00CD0C90">
        <w:rPr>
          <w:rFonts w:asciiTheme="majorHAnsi" w:hAnsiTheme="majorHAnsi" w:cstheme="majorHAnsi"/>
          <w:lang w:val="es-ES"/>
        </w:rPr>
        <w:t xml:space="preserve"> a cambio de disciplina de voto en temas prioritarios </w:t>
      </w:r>
      <w:r w:rsidR="00717B21" w:rsidRPr="00CD0C90">
        <w:rPr>
          <w:rFonts w:asciiTheme="majorHAnsi" w:hAnsiTheme="majorHAnsi" w:cstheme="majorHAnsi"/>
          <w:lang w:val="es-ES"/>
        </w:rPr>
        <w:t xml:space="preserve">para </w:t>
      </w:r>
      <w:r w:rsidRPr="00CD0C90">
        <w:rPr>
          <w:rFonts w:asciiTheme="majorHAnsi" w:hAnsiTheme="majorHAnsi" w:cstheme="majorHAnsi"/>
          <w:lang w:val="es-ES"/>
        </w:rPr>
        <w:t xml:space="preserve">el </w:t>
      </w:r>
      <w:r w:rsidR="001D4B0A" w:rsidRPr="00CD0C90">
        <w:rPr>
          <w:rFonts w:asciiTheme="majorHAnsi" w:hAnsiTheme="majorHAnsi" w:cstheme="majorHAnsi"/>
          <w:lang w:val="es-ES"/>
        </w:rPr>
        <w:t>ejecutivo</w:t>
      </w:r>
      <w:r w:rsidRPr="00CD0C90">
        <w:rPr>
          <w:rFonts w:asciiTheme="majorHAnsi" w:hAnsiTheme="majorHAnsi" w:cstheme="majorHAnsi"/>
          <w:lang w:val="es-ES"/>
        </w:rPr>
        <w:t>, inclu</w:t>
      </w:r>
      <w:r w:rsidR="00717B21" w:rsidRPr="00CD0C90">
        <w:rPr>
          <w:rFonts w:asciiTheme="majorHAnsi" w:hAnsiTheme="majorHAnsi" w:cstheme="majorHAnsi"/>
          <w:lang w:val="es-ES"/>
        </w:rPr>
        <w:t xml:space="preserve">yendo </w:t>
      </w:r>
      <w:r w:rsidRPr="00CD0C90">
        <w:rPr>
          <w:rFonts w:asciiTheme="majorHAnsi" w:hAnsiTheme="majorHAnsi" w:cstheme="majorHAnsi"/>
          <w:lang w:val="es-ES"/>
        </w:rPr>
        <w:t>los proyectos de transición energética.</w:t>
      </w:r>
    </w:p>
    <w:p w14:paraId="268A56F7" w14:textId="3A7DAD48" w:rsidR="00622B8B" w:rsidRPr="00CD0C90" w:rsidRDefault="00717B21"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A nivel</w:t>
      </w:r>
      <w:r w:rsidR="00622B8B" w:rsidRPr="00CD0C90">
        <w:rPr>
          <w:rFonts w:asciiTheme="majorHAnsi" w:hAnsiTheme="majorHAnsi" w:cstheme="majorHAnsi"/>
          <w:lang w:val="es-ES"/>
        </w:rPr>
        <w:t xml:space="preserve"> institucional</w:t>
      </w:r>
      <w:r w:rsidRPr="00CD0C90">
        <w:rPr>
          <w:rFonts w:asciiTheme="majorHAnsi" w:hAnsiTheme="majorHAnsi" w:cstheme="majorHAnsi"/>
          <w:lang w:val="es-ES"/>
        </w:rPr>
        <w:t>,</w:t>
      </w:r>
      <w:r w:rsidR="00622B8B" w:rsidRPr="00CD0C90">
        <w:rPr>
          <w:rFonts w:asciiTheme="majorHAnsi" w:hAnsiTheme="majorHAnsi" w:cstheme="majorHAnsi"/>
          <w:lang w:val="es-ES"/>
        </w:rPr>
        <w:t xml:space="preserve"> el sector energético brasileño </w:t>
      </w:r>
      <w:r w:rsidRPr="00CD0C90">
        <w:rPr>
          <w:rFonts w:asciiTheme="majorHAnsi" w:hAnsiTheme="majorHAnsi" w:cstheme="majorHAnsi"/>
          <w:lang w:val="es-ES"/>
        </w:rPr>
        <w:t>cuenta con</w:t>
      </w:r>
      <w:r w:rsidR="00622B8B" w:rsidRPr="00CD0C90">
        <w:rPr>
          <w:rFonts w:asciiTheme="majorHAnsi" w:hAnsiTheme="majorHAnsi" w:cstheme="majorHAnsi"/>
          <w:lang w:val="es-ES"/>
        </w:rPr>
        <w:t xml:space="preserve"> </w:t>
      </w:r>
      <w:r w:rsidRPr="00CD0C90">
        <w:rPr>
          <w:rFonts w:asciiTheme="majorHAnsi" w:hAnsiTheme="majorHAnsi" w:cstheme="majorHAnsi"/>
          <w:lang w:val="es-ES"/>
        </w:rPr>
        <w:t>un</w:t>
      </w:r>
      <w:r w:rsidR="00622B8B" w:rsidRPr="00CD0C90">
        <w:rPr>
          <w:rFonts w:asciiTheme="majorHAnsi" w:hAnsiTheme="majorHAnsi" w:cstheme="majorHAnsi"/>
          <w:lang w:val="es-ES"/>
        </w:rPr>
        <w:t xml:space="preserve"> Conselho Nacional de Política Energética (CNPE), creado por la Lei 9.478/1997 (art. 2)</w:t>
      </w:r>
      <w:r w:rsidRPr="00CD0C90">
        <w:rPr>
          <w:rFonts w:asciiTheme="majorHAnsi" w:hAnsiTheme="majorHAnsi" w:cstheme="majorHAnsi"/>
          <w:lang w:val="es-ES"/>
        </w:rPr>
        <w:t>, el cual es</w:t>
      </w:r>
      <w:r w:rsidR="00622B8B" w:rsidRPr="00CD0C90">
        <w:rPr>
          <w:rFonts w:asciiTheme="majorHAnsi" w:hAnsiTheme="majorHAnsi" w:cstheme="majorHAnsi"/>
          <w:lang w:val="es-ES"/>
        </w:rPr>
        <w:t xml:space="preserve"> presidido por el Ministro de Minas e Energia. El CNPE es una instancia de coordinación interministerial de alto nivel</w:t>
      </w:r>
      <w:r w:rsidR="00F641F8" w:rsidRPr="00CD0C90">
        <w:rPr>
          <w:rFonts w:asciiTheme="majorHAnsi" w:hAnsiTheme="majorHAnsi" w:cstheme="majorHAnsi"/>
          <w:lang w:val="es-ES"/>
        </w:rPr>
        <w:t xml:space="preserve">, </w:t>
      </w:r>
      <w:r w:rsidR="00622B8B" w:rsidRPr="00CD0C90">
        <w:rPr>
          <w:rFonts w:asciiTheme="majorHAnsi" w:hAnsiTheme="majorHAnsi" w:cstheme="majorHAnsi"/>
          <w:lang w:val="es-ES"/>
        </w:rPr>
        <w:t>integrada por representantes de más de una decena de carteras, según la composición vigente en cada período</w:t>
      </w:r>
      <w:r w:rsidR="00F641F8" w:rsidRPr="00CD0C90">
        <w:rPr>
          <w:rFonts w:asciiTheme="majorHAnsi" w:hAnsiTheme="majorHAnsi" w:cstheme="majorHAnsi"/>
          <w:lang w:val="es-ES"/>
        </w:rPr>
        <w:t>,</w:t>
      </w:r>
      <w:r w:rsidR="00622B8B" w:rsidRPr="00CD0C90">
        <w:rPr>
          <w:rFonts w:asciiTheme="majorHAnsi" w:hAnsiTheme="majorHAnsi" w:cstheme="majorHAnsi"/>
          <w:lang w:val="es-ES"/>
        </w:rPr>
        <w:t xml:space="preserve"> </w:t>
      </w:r>
      <w:r w:rsidR="00F641F8" w:rsidRPr="00CD0C90">
        <w:rPr>
          <w:rFonts w:asciiTheme="majorHAnsi" w:hAnsiTheme="majorHAnsi" w:cstheme="majorHAnsi"/>
          <w:lang w:val="es-ES"/>
        </w:rPr>
        <w:t>que puede</w:t>
      </w:r>
      <w:r w:rsidR="00622B8B" w:rsidRPr="00CD0C90">
        <w:rPr>
          <w:rFonts w:asciiTheme="majorHAnsi" w:hAnsiTheme="majorHAnsi" w:cstheme="majorHAnsi"/>
          <w:lang w:val="es-ES"/>
        </w:rPr>
        <w:t xml:space="preserve"> proponer al Presidente de la República políticas y medidas específicas </w:t>
      </w:r>
      <w:r w:rsidR="00F641F8" w:rsidRPr="00CD0C90">
        <w:rPr>
          <w:rFonts w:asciiTheme="majorHAnsi" w:hAnsiTheme="majorHAnsi" w:cstheme="majorHAnsi"/>
          <w:lang w:val="es-ES"/>
        </w:rPr>
        <w:t>par</w:t>
      </w:r>
      <w:r w:rsidR="00622B8B" w:rsidRPr="00CD0C90">
        <w:rPr>
          <w:rFonts w:asciiTheme="majorHAnsi" w:hAnsiTheme="majorHAnsi" w:cstheme="majorHAnsi"/>
          <w:lang w:val="es-ES"/>
        </w:rPr>
        <w:t>a garantizar el abastecimiento energético nacional (</w:t>
      </w:r>
      <w:bookmarkStart w:id="34" w:name="_Hlk234687920"/>
      <w:r w:rsidR="00622B8B" w:rsidRPr="00CD0C90">
        <w:rPr>
          <w:rFonts w:asciiTheme="majorHAnsi" w:hAnsiTheme="majorHAnsi" w:cstheme="majorHAnsi"/>
          <w:lang w:val="es-ES"/>
        </w:rPr>
        <w:t>Ministério de Minas e Energia,</w:t>
      </w:r>
      <w:bookmarkEnd w:id="34"/>
      <w:r w:rsidR="00F641F8" w:rsidRPr="00CD0C90">
        <w:rPr>
          <w:rFonts w:asciiTheme="majorHAnsi" w:hAnsiTheme="majorHAnsi" w:cstheme="majorHAnsi"/>
          <w:lang w:val="es-ES"/>
        </w:rPr>
        <w:t xml:space="preserve"> s. f.</w:t>
      </w:r>
      <w:r w:rsidR="00622B8B" w:rsidRPr="00CD0C90">
        <w:rPr>
          <w:rFonts w:asciiTheme="majorHAnsi" w:hAnsiTheme="majorHAnsi" w:cstheme="majorHAnsi"/>
          <w:lang w:val="es-ES"/>
        </w:rPr>
        <w:t xml:space="preserve">). Esta arquitectura le confiere al sistema brasileño una capacidad de integración de objetivos energéticos que </w:t>
      </w:r>
      <w:r w:rsidR="00F641F8" w:rsidRPr="00CD0C90">
        <w:rPr>
          <w:rFonts w:asciiTheme="majorHAnsi" w:hAnsiTheme="majorHAnsi" w:cstheme="majorHAnsi"/>
          <w:lang w:val="es-ES"/>
        </w:rPr>
        <w:t>pr</w:t>
      </w:r>
      <w:r w:rsidR="00622B8B" w:rsidRPr="00CD0C90">
        <w:rPr>
          <w:rFonts w:asciiTheme="majorHAnsi" w:hAnsiTheme="majorHAnsi" w:cstheme="majorHAnsi"/>
          <w:lang w:val="es-ES"/>
        </w:rPr>
        <w:t>ecede</w:t>
      </w:r>
      <w:r w:rsidR="00F641F8" w:rsidRPr="00CD0C90">
        <w:rPr>
          <w:rFonts w:asciiTheme="majorHAnsi" w:hAnsiTheme="majorHAnsi" w:cstheme="majorHAnsi"/>
          <w:lang w:val="es-ES"/>
        </w:rPr>
        <w:t xml:space="preserve"> </w:t>
      </w:r>
      <w:r w:rsidR="00622B8B" w:rsidRPr="00CD0C90">
        <w:rPr>
          <w:rFonts w:asciiTheme="majorHAnsi" w:hAnsiTheme="majorHAnsi" w:cstheme="majorHAnsi"/>
          <w:lang w:val="es-ES"/>
        </w:rPr>
        <w:t>la llegada de proyecto</w:t>
      </w:r>
      <w:r w:rsidR="00F641F8" w:rsidRPr="00CD0C90">
        <w:rPr>
          <w:rFonts w:asciiTheme="majorHAnsi" w:hAnsiTheme="majorHAnsi" w:cstheme="majorHAnsi"/>
          <w:lang w:val="es-ES"/>
        </w:rPr>
        <w:t>s</w:t>
      </w:r>
      <w:r w:rsidR="00622B8B" w:rsidRPr="00CD0C90">
        <w:rPr>
          <w:rFonts w:asciiTheme="majorHAnsi" w:hAnsiTheme="majorHAnsi" w:cstheme="majorHAnsi"/>
          <w:lang w:val="es-ES"/>
        </w:rPr>
        <w:t xml:space="preserve"> normativo</w:t>
      </w:r>
      <w:r w:rsidR="00F641F8" w:rsidRPr="00CD0C90">
        <w:rPr>
          <w:rFonts w:asciiTheme="majorHAnsi" w:hAnsiTheme="majorHAnsi" w:cstheme="majorHAnsi"/>
          <w:lang w:val="es-ES"/>
        </w:rPr>
        <w:t>s</w:t>
      </w:r>
      <w:r w:rsidR="00622B8B" w:rsidRPr="00CD0C90">
        <w:rPr>
          <w:rFonts w:asciiTheme="majorHAnsi" w:hAnsiTheme="majorHAnsi" w:cstheme="majorHAnsi"/>
          <w:lang w:val="es-ES"/>
        </w:rPr>
        <w:t xml:space="preserve"> al Congreso.</w:t>
      </w:r>
    </w:p>
    <w:p w14:paraId="243714D4" w14:textId="08992D11" w:rsidR="00622B8B" w:rsidRPr="00CD0C90" w:rsidRDefault="00622B8B"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El </w:t>
      </w:r>
      <w:r w:rsidR="001D4B0A" w:rsidRPr="00CD0C90">
        <w:rPr>
          <w:rFonts w:asciiTheme="majorHAnsi" w:hAnsiTheme="majorHAnsi" w:cstheme="majorHAnsi"/>
          <w:lang w:val="es-ES"/>
        </w:rPr>
        <w:t>legislativo</w:t>
      </w:r>
      <w:r w:rsidRPr="00CD0C90">
        <w:rPr>
          <w:rFonts w:asciiTheme="majorHAnsi" w:hAnsiTheme="majorHAnsi" w:cstheme="majorHAnsi"/>
          <w:lang w:val="es-ES"/>
        </w:rPr>
        <w:t xml:space="preserve"> brasileño cuenta, a su vez, con la Consultoria Legislativa da Câmara dos Deputados (CONLE), un órgano técnico permanente</w:t>
      </w:r>
      <w:r w:rsidR="00327875" w:rsidRPr="00CD0C90">
        <w:rPr>
          <w:rFonts w:asciiTheme="majorHAnsi" w:hAnsiTheme="majorHAnsi" w:cstheme="majorHAnsi"/>
          <w:lang w:val="es-ES"/>
        </w:rPr>
        <w:t xml:space="preserve">, que </w:t>
      </w:r>
      <w:r w:rsidRPr="00CD0C90">
        <w:rPr>
          <w:rFonts w:asciiTheme="majorHAnsi" w:hAnsiTheme="majorHAnsi" w:cstheme="majorHAnsi"/>
          <w:lang w:val="es-ES"/>
        </w:rPr>
        <w:t xml:space="preserve">no </w:t>
      </w:r>
      <w:r w:rsidR="00327875" w:rsidRPr="00CD0C90">
        <w:rPr>
          <w:rFonts w:asciiTheme="majorHAnsi" w:hAnsiTheme="majorHAnsi" w:cstheme="majorHAnsi"/>
          <w:lang w:val="es-ES"/>
        </w:rPr>
        <w:t xml:space="preserve"> es </w:t>
      </w:r>
      <w:r w:rsidRPr="00CD0C90">
        <w:rPr>
          <w:rFonts w:asciiTheme="majorHAnsi" w:hAnsiTheme="majorHAnsi" w:cstheme="majorHAnsi"/>
          <w:lang w:val="es-ES"/>
        </w:rPr>
        <w:t xml:space="preserve">partidista, </w:t>
      </w:r>
      <w:r w:rsidR="00327875" w:rsidRPr="00CD0C90">
        <w:rPr>
          <w:rFonts w:asciiTheme="majorHAnsi" w:hAnsiTheme="majorHAnsi" w:cstheme="majorHAnsi"/>
          <w:lang w:val="es-ES"/>
        </w:rPr>
        <w:t xml:space="preserve">sino </w:t>
      </w:r>
      <w:r w:rsidRPr="00CD0C90">
        <w:rPr>
          <w:rFonts w:asciiTheme="majorHAnsi" w:hAnsiTheme="majorHAnsi" w:cstheme="majorHAnsi"/>
          <w:lang w:val="es-ES"/>
        </w:rPr>
        <w:t>de carrera</w:t>
      </w:r>
      <w:r w:rsidR="00327875" w:rsidRPr="00CD0C90">
        <w:rPr>
          <w:rFonts w:asciiTheme="majorHAnsi" w:hAnsiTheme="majorHAnsi" w:cstheme="majorHAnsi"/>
          <w:lang w:val="es-ES"/>
        </w:rPr>
        <w:t>, el cual</w:t>
      </w:r>
      <w:r w:rsidRPr="00CD0C90">
        <w:rPr>
          <w:rFonts w:asciiTheme="majorHAnsi" w:hAnsiTheme="majorHAnsi" w:cstheme="majorHAnsi"/>
          <w:lang w:val="es-ES"/>
        </w:rPr>
        <w:t xml:space="preserve"> asesora a los parlamentarios en todas las fases del ciclo legislativo, desde la elaboración de proyectos hasta el análisis de impacto normativo, organizado en más de veinte áreas temáticas especializadas, entre ellas</w:t>
      </w:r>
      <w:r w:rsidR="00327875" w:rsidRPr="00CD0C90">
        <w:rPr>
          <w:rFonts w:asciiTheme="majorHAnsi" w:hAnsiTheme="majorHAnsi" w:cstheme="majorHAnsi"/>
          <w:lang w:val="es-ES"/>
        </w:rPr>
        <w:t>, la de</w:t>
      </w:r>
      <w:r w:rsidRPr="00CD0C90">
        <w:rPr>
          <w:rFonts w:asciiTheme="majorHAnsi" w:hAnsiTheme="majorHAnsi" w:cstheme="majorHAnsi"/>
          <w:lang w:val="es-ES"/>
        </w:rPr>
        <w:t xml:space="preserve"> energía (</w:t>
      </w:r>
      <w:bookmarkStart w:id="35" w:name="_Hlk234687992"/>
      <w:r w:rsidRPr="00CD0C90">
        <w:rPr>
          <w:rFonts w:asciiTheme="majorHAnsi" w:hAnsiTheme="majorHAnsi" w:cstheme="majorHAnsi"/>
          <w:lang w:val="es-ES"/>
        </w:rPr>
        <w:t>Câmara dos Deputados, Consultoria Legislativa,</w:t>
      </w:r>
      <w:bookmarkEnd w:id="35"/>
      <w:r w:rsidR="00327875" w:rsidRPr="00CD0C90">
        <w:rPr>
          <w:rFonts w:asciiTheme="majorHAnsi" w:hAnsiTheme="majorHAnsi" w:cstheme="majorHAnsi"/>
          <w:lang w:val="es-ES"/>
        </w:rPr>
        <w:t xml:space="preserve"> s. f.</w:t>
      </w:r>
      <w:r w:rsidRPr="00CD0C90">
        <w:rPr>
          <w:rFonts w:asciiTheme="majorHAnsi" w:hAnsiTheme="majorHAnsi" w:cstheme="majorHAnsi"/>
          <w:lang w:val="es-ES"/>
        </w:rPr>
        <w:t xml:space="preserve">). Esta capacidad instalada transforma cualitativamente la relación del </w:t>
      </w:r>
      <w:r w:rsidR="001D4B0A" w:rsidRPr="00CD0C90">
        <w:rPr>
          <w:rFonts w:asciiTheme="majorHAnsi" w:hAnsiTheme="majorHAnsi" w:cstheme="majorHAnsi"/>
          <w:lang w:val="es-ES"/>
        </w:rPr>
        <w:t>legislativo</w:t>
      </w:r>
      <w:r w:rsidRPr="00CD0C90">
        <w:rPr>
          <w:rFonts w:asciiTheme="majorHAnsi" w:hAnsiTheme="majorHAnsi" w:cstheme="majorHAnsi"/>
          <w:lang w:val="es-ES"/>
        </w:rPr>
        <w:t xml:space="preserve"> con la complejidad técnica de la política energética: cuando los parlamentarios disponen de asesoría especializada propia, la negociación con el </w:t>
      </w:r>
      <w:r w:rsidR="001D4B0A" w:rsidRPr="00CD0C90">
        <w:rPr>
          <w:rFonts w:asciiTheme="majorHAnsi" w:hAnsiTheme="majorHAnsi" w:cstheme="majorHAnsi"/>
          <w:lang w:val="es-ES"/>
        </w:rPr>
        <w:t>ejecutivo</w:t>
      </w:r>
      <w:r w:rsidRPr="00CD0C90">
        <w:rPr>
          <w:rFonts w:asciiTheme="majorHAnsi" w:hAnsiTheme="majorHAnsi" w:cstheme="majorHAnsi"/>
          <w:lang w:val="es-ES"/>
        </w:rPr>
        <w:t xml:space="preserve"> </w:t>
      </w:r>
      <w:r w:rsidR="00327875" w:rsidRPr="00CD0C90">
        <w:rPr>
          <w:rFonts w:asciiTheme="majorHAnsi" w:hAnsiTheme="majorHAnsi" w:cstheme="majorHAnsi"/>
          <w:lang w:val="es-ES"/>
        </w:rPr>
        <w:t>presenta</w:t>
      </w:r>
      <w:r w:rsidRPr="00CD0C90">
        <w:rPr>
          <w:rFonts w:asciiTheme="majorHAnsi" w:hAnsiTheme="majorHAnsi" w:cstheme="majorHAnsi"/>
          <w:lang w:val="es-ES"/>
        </w:rPr>
        <w:t xml:space="preserve"> menor asimetría de información, el proceso deliberativo es más robusto y los resultados legislativos </w:t>
      </w:r>
      <w:r w:rsidR="00327875" w:rsidRPr="00CD0C90">
        <w:rPr>
          <w:rFonts w:asciiTheme="majorHAnsi" w:hAnsiTheme="majorHAnsi" w:cstheme="majorHAnsi"/>
          <w:lang w:val="es-ES"/>
        </w:rPr>
        <w:t>son</w:t>
      </w:r>
      <w:r w:rsidRPr="00CD0C90">
        <w:rPr>
          <w:rFonts w:asciiTheme="majorHAnsi" w:hAnsiTheme="majorHAnsi" w:cstheme="majorHAnsi"/>
          <w:lang w:val="es-ES"/>
        </w:rPr>
        <w:t xml:space="preserve"> más predecibles. El </w:t>
      </w:r>
      <w:r w:rsidRPr="00CD0C90">
        <w:rPr>
          <w:rFonts w:asciiTheme="majorHAnsi" w:hAnsiTheme="majorHAnsi" w:cstheme="majorHAnsi"/>
          <w:lang w:val="es-ES"/>
        </w:rPr>
        <w:lastRenderedPageBreak/>
        <w:t xml:space="preserve">Congreso de la República de Colombia </w:t>
      </w:r>
      <w:r w:rsidR="00327875" w:rsidRPr="00CD0C90">
        <w:rPr>
          <w:rFonts w:asciiTheme="majorHAnsi" w:hAnsiTheme="majorHAnsi" w:cstheme="majorHAnsi"/>
          <w:lang w:val="es-ES"/>
        </w:rPr>
        <w:t>no tiene</w:t>
      </w:r>
      <w:r w:rsidRPr="00CD0C90">
        <w:rPr>
          <w:rFonts w:asciiTheme="majorHAnsi" w:hAnsiTheme="majorHAnsi" w:cstheme="majorHAnsi"/>
          <w:lang w:val="es-ES"/>
        </w:rPr>
        <w:t xml:space="preserve"> un equivalente funcional</w:t>
      </w:r>
      <w:r w:rsidR="00327875" w:rsidRPr="00CD0C90">
        <w:rPr>
          <w:rFonts w:asciiTheme="majorHAnsi" w:hAnsiTheme="majorHAnsi" w:cstheme="majorHAnsi"/>
          <w:lang w:val="es-ES"/>
        </w:rPr>
        <w:t>, en tanto</w:t>
      </w:r>
      <w:r w:rsidRPr="00CD0C90">
        <w:rPr>
          <w:rFonts w:asciiTheme="majorHAnsi" w:hAnsiTheme="majorHAnsi" w:cstheme="majorHAnsi"/>
          <w:lang w:val="es-ES"/>
        </w:rPr>
        <w:t xml:space="preserve"> las Unidades de Trabajo </w:t>
      </w:r>
      <w:r w:rsidR="001D4B0A" w:rsidRPr="00CD0C90">
        <w:rPr>
          <w:rFonts w:asciiTheme="majorHAnsi" w:hAnsiTheme="majorHAnsi" w:cstheme="majorHAnsi"/>
          <w:lang w:val="es-ES"/>
        </w:rPr>
        <w:t>legislativo</w:t>
      </w:r>
      <w:r w:rsidRPr="00CD0C90">
        <w:rPr>
          <w:rFonts w:asciiTheme="majorHAnsi" w:hAnsiTheme="majorHAnsi" w:cstheme="majorHAnsi"/>
          <w:lang w:val="es-ES"/>
        </w:rPr>
        <w:t xml:space="preserve"> (UTL) son de asignación individual por congresista, no especializadas ni de carrera, lo que desplaza la negociación técnica hacia los gabinetes ministeriales, los grupos de interés sectoriales y las relaciones personales.</w:t>
      </w:r>
    </w:p>
    <w:p w14:paraId="7026CD59" w14:textId="6E993A92" w:rsidR="00622B8B" w:rsidRPr="00CD0C90" w:rsidRDefault="00622B8B"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En materia de </w:t>
      </w:r>
      <w:r w:rsidR="00422C3B" w:rsidRPr="00CD0C90">
        <w:rPr>
          <w:rFonts w:asciiTheme="majorHAnsi" w:hAnsiTheme="majorHAnsi" w:cstheme="majorHAnsi"/>
          <w:lang w:val="es-ES"/>
        </w:rPr>
        <w:t>normatividad</w:t>
      </w:r>
      <w:r w:rsidRPr="00CD0C90">
        <w:rPr>
          <w:rFonts w:asciiTheme="majorHAnsi" w:hAnsiTheme="majorHAnsi" w:cstheme="majorHAnsi"/>
          <w:lang w:val="es-ES"/>
        </w:rPr>
        <w:t xml:space="preserve"> sobre transición energética, Brasil sancionó la Lei 14.300 de 2022, que establec</w:t>
      </w:r>
      <w:r w:rsidR="00422C3B" w:rsidRPr="00CD0C90">
        <w:rPr>
          <w:rFonts w:asciiTheme="majorHAnsi" w:hAnsiTheme="majorHAnsi" w:cstheme="majorHAnsi"/>
          <w:lang w:val="es-ES"/>
        </w:rPr>
        <w:t>e</w:t>
      </w:r>
      <w:r w:rsidRPr="00CD0C90">
        <w:rPr>
          <w:rFonts w:asciiTheme="majorHAnsi" w:hAnsiTheme="majorHAnsi" w:cstheme="majorHAnsi"/>
          <w:lang w:val="es-ES"/>
        </w:rPr>
        <w:t xml:space="preserve"> el marco legal de la microgeneración y minigeneración distribuida de energía solar</w:t>
      </w:r>
      <w:r w:rsidR="00422C3B" w:rsidRPr="00CD0C90">
        <w:rPr>
          <w:rFonts w:asciiTheme="majorHAnsi" w:hAnsiTheme="majorHAnsi" w:cstheme="majorHAnsi"/>
          <w:lang w:val="es-ES"/>
        </w:rPr>
        <w:t>,</w:t>
      </w:r>
      <w:r w:rsidRPr="00CD0C90">
        <w:rPr>
          <w:rFonts w:asciiTheme="majorHAnsi" w:hAnsiTheme="majorHAnsi" w:cstheme="majorHAnsi"/>
          <w:lang w:val="es-ES"/>
        </w:rPr>
        <w:t xml:space="preserve"> la Lei 14.948</w:t>
      </w:r>
      <w:r w:rsidR="00422C3B" w:rsidRPr="00CD0C90">
        <w:rPr>
          <w:rFonts w:asciiTheme="majorHAnsi" w:hAnsiTheme="majorHAnsi" w:cstheme="majorHAnsi"/>
          <w:lang w:val="es-ES"/>
        </w:rPr>
        <w:t xml:space="preserve"> </w:t>
      </w:r>
      <w:r w:rsidRPr="00CD0C90">
        <w:rPr>
          <w:rFonts w:asciiTheme="majorHAnsi" w:hAnsiTheme="majorHAnsi" w:cstheme="majorHAnsi"/>
          <w:lang w:val="es-ES"/>
        </w:rPr>
        <w:t>de 2024, que instituy</w:t>
      </w:r>
      <w:r w:rsidR="00422C3B" w:rsidRPr="00CD0C90">
        <w:rPr>
          <w:rFonts w:asciiTheme="majorHAnsi" w:hAnsiTheme="majorHAnsi" w:cstheme="majorHAnsi"/>
          <w:lang w:val="es-ES"/>
        </w:rPr>
        <w:t>e</w:t>
      </w:r>
      <w:r w:rsidRPr="00CD0C90">
        <w:rPr>
          <w:rFonts w:asciiTheme="majorHAnsi" w:hAnsiTheme="majorHAnsi" w:cstheme="majorHAnsi"/>
          <w:lang w:val="es-ES"/>
        </w:rPr>
        <w:t xml:space="preserve"> el marco legal del hidrógeno de bajo carbono</w:t>
      </w:r>
      <w:r w:rsidR="00422C3B" w:rsidRPr="00CD0C90">
        <w:rPr>
          <w:rFonts w:asciiTheme="majorHAnsi" w:hAnsiTheme="majorHAnsi" w:cstheme="majorHAnsi"/>
          <w:lang w:val="es-ES"/>
        </w:rPr>
        <w:t>,</w:t>
      </w:r>
      <w:r w:rsidRPr="00CD0C90">
        <w:rPr>
          <w:rFonts w:asciiTheme="majorHAnsi" w:hAnsiTheme="majorHAnsi" w:cstheme="majorHAnsi"/>
          <w:lang w:val="es-ES"/>
        </w:rPr>
        <w:t xml:space="preserve"> la Lei 14.993, de 2024</w:t>
      </w:r>
      <w:r w:rsidR="00422C3B" w:rsidRPr="00CD0C90">
        <w:rPr>
          <w:rFonts w:asciiTheme="majorHAnsi" w:hAnsiTheme="majorHAnsi" w:cstheme="majorHAnsi"/>
          <w:lang w:val="es-ES"/>
        </w:rPr>
        <w:t xml:space="preserve"> o </w:t>
      </w:r>
      <w:r w:rsidRPr="00CD0C90">
        <w:rPr>
          <w:rFonts w:asciiTheme="majorHAnsi" w:hAnsiTheme="majorHAnsi" w:cstheme="majorHAnsi"/>
          <w:lang w:val="es-ES"/>
        </w:rPr>
        <w:t>Lei do Combustível do Futuro</w:t>
      </w:r>
      <w:r w:rsidR="00422C3B" w:rsidRPr="00CD0C90">
        <w:rPr>
          <w:rFonts w:asciiTheme="majorHAnsi" w:hAnsiTheme="majorHAnsi" w:cstheme="majorHAnsi"/>
          <w:lang w:val="es-ES"/>
        </w:rPr>
        <w:t>,</w:t>
      </w:r>
      <w:r w:rsidRPr="00CD0C90">
        <w:rPr>
          <w:rFonts w:asciiTheme="majorHAnsi" w:hAnsiTheme="majorHAnsi" w:cstheme="majorHAnsi"/>
          <w:lang w:val="es-ES"/>
        </w:rPr>
        <w:t xml:space="preserve"> la Lei 15.042</w:t>
      </w:r>
      <w:r w:rsidR="00422C3B" w:rsidRPr="00CD0C90">
        <w:rPr>
          <w:rFonts w:asciiTheme="majorHAnsi" w:hAnsiTheme="majorHAnsi" w:cstheme="majorHAnsi"/>
          <w:lang w:val="es-ES"/>
        </w:rPr>
        <w:t xml:space="preserve"> </w:t>
      </w:r>
      <w:r w:rsidRPr="00CD0C90">
        <w:rPr>
          <w:rFonts w:asciiTheme="majorHAnsi" w:hAnsiTheme="majorHAnsi" w:cstheme="majorHAnsi"/>
          <w:lang w:val="es-ES"/>
        </w:rPr>
        <w:t xml:space="preserve">de 2024, que </w:t>
      </w:r>
      <w:r w:rsidR="00422C3B" w:rsidRPr="00CD0C90">
        <w:rPr>
          <w:rFonts w:asciiTheme="majorHAnsi" w:hAnsiTheme="majorHAnsi" w:cstheme="majorHAnsi"/>
          <w:lang w:val="es-ES"/>
        </w:rPr>
        <w:t>crea</w:t>
      </w:r>
      <w:r w:rsidRPr="00CD0C90">
        <w:rPr>
          <w:rFonts w:asciiTheme="majorHAnsi" w:hAnsiTheme="majorHAnsi" w:cstheme="majorHAnsi"/>
          <w:lang w:val="es-ES"/>
        </w:rPr>
        <w:t xml:space="preserve"> el Sistema Brasileiro de Comércio de Emissões de Gases de Efeito Estufa </w:t>
      </w:r>
      <w:r w:rsidR="00422C3B" w:rsidRPr="00CD0C90">
        <w:rPr>
          <w:rFonts w:asciiTheme="majorHAnsi" w:hAnsiTheme="majorHAnsi" w:cstheme="majorHAnsi"/>
          <w:lang w:val="es-ES"/>
        </w:rPr>
        <w:t>(</w:t>
      </w:r>
      <w:r w:rsidRPr="00CD0C90">
        <w:rPr>
          <w:rFonts w:asciiTheme="majorHAnsi" w:hAnsiTheme="majorHAnsi" w:cstheme="majorHAnsi"/>
          <w:lang w:val="es-ES"/>
        </w:rPr>
        <w:t>SBCE</w:t>
      </w:r>
      <w:r w:rsidR="00422C3B" w:rsidRPr="00CD0C90">
        <w:rPr>
          <w:rFonts w:asciiTheme="majorHAnsi" w:hAnsiTheme="majorHAnsi" w:cstheme="majorHAnsi"/>
          <w:lang w:val="es-ES"/>
        </w:rPr>
        <w:t>),</w:t>
      </w:r>
      <w:r w:rsidRPr="00CD0C90">
        <w:rPr>
          <w:rFonts w:asciiTheme="majorHAnsi" w:hAnsiTheme="majorHAnsi" w:cstheme="majorHAnsi"/>
          <w:lang w:val="es-ES"/>
        </w:rPr>
        <w:t xml:space="preserve"> y la Lei 15.103</w:t>
      </w:r>
      <w:r w:rsidR="00422C3B" w:rsidRPr="00CD0C90">
        <w:rPr>
          <w:rFonts w:asciiTheme="majorHAnsi" w:hAnsiTheme="majorHAnsi" w:cstheme="majorHAnsi"/>
          <w:lang w:val="es-ES"/>
        </w:rPr>
        <w:t xml:space="preserve"> </w:t>
      </w:r>
      <w:r w:rsidRPr="00CD0C90">
        <w:rPr>
          <w:rFonts w:asciiTheme="majorHAnsi" w:hAnsiTheme="majorHAnsi" w:cstheme="majorHAnsi"/>
          <w:lang w:val="es-ES"/>
        </w:rPr>
        <w:t>de 2025, que cre</w:t>
      </w:r>
      <w:r w:rsidR="00422C3B" w:rsidRPr="00CD0C90">
        <w:rPr>
          <w:rFonts w:asciiTheme="majorHAnsi" w:hAnsiTheme="majorHAnsi" w:cstheme="majorHAnsi"/>
          <w:lang w:val="es-ES"/>
        </w:rPr>
        <w:t>a</w:t>
      </w:r>
      <w:r w:rsidRPr="00CD0C90">
        <w:rPr>
          <w:rFonts w:asciiTheme="majorHAnsi" w:hAnsiTheme="majorHAnsi" w:cstheme="majorHAnsi"/>
          <w:lang w:val="es-ES"/>
        </w:rPr>
        <w:t xml:space="preserve"> el Programa de Aceleração da Transição Energética </w:t>
      </w:r>
      <w:r w:rsidR="00422C3B" w:rsidRPr="00CD0C90">
        <w:rPr>
          <w:rFonts w:asciiTheme="majorHAnsi" w:hAnsiTheme="majorHAnsi" w:cstheme="majorHAnsi"/>
          <w:lang w:val="es-ES"/>
        </w:rPr>
        <w:t>(</w:t>
      </w:r>
      <w:r w:rsidRPr="00CD0C90">
        <w:rPr>
          <w:rFonts w:asciiTheme="majorHAnsi" w:hAnsiTheme="majorHAnsi" w:cstheme="majorHAnsi"/>
          <w:lang w:val="es-ES"/>
        </w:rPr>
        <w:t>PATEN</w:t>
      </w:r>
      <w:r w:rsidR="00422C3B" w:rsidRPr="00CD0C90">
        <w:rPr>
          <w:rFonts w:asciiTheme="majorHAnsi" w:hAnsiTheme="majorHAnsi" w:cstheme="majorHAnsi"/>
          <w:lang w:val="es-ES"/>
        </w:rPr>
        <w:t>).</w:t>
      </w:r>
    </w:p>
    <w:p w14:paraId="1BA0C259" w14:textId="008E7197" w:rsidR="00622B8B" w:rsidRPr="00CD0C90" w:rsidRDefault="00622B8B"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Un mecanismo adicional de articulación entre el </w:t>
      </w:r>
      <w:r w:rsidR="001D4B0A" w:rsidRPr="00CD0C90">
        <w:rPr>
          <w:rFonts w:asciiTheme="majorHAnsi" w:hAnsiTheme="majorHAnsi" w:cstheme="majorHAnsi"/>
          <w:lang w:val="es-ES"/>
        </w:rPr>
        <w:t>ejecutivo</w:t>
      </w:r>
      <w:r w:rsidRPr="00CD0C90">
        <w:rPr>
          <w:rFonts w:asciiTheme="majorHAnsi" w:hAnsiTheme="majorHAnsi" w:cstheme="majorHAnsi"/>
          <w:lang w:val="es-ES"/>
        </w:rPr>
        <w:t xml:space="preserve">, el </w:t>
      </w:r>
      <w:r w:rsidR="001D4B0A" w:rsidRPr="00CD0C90">
        <w:rPr>
          <w:rFonts w:asciiTheme="majorHAnsi" w:hAnsiTheme="majorHAnsi" w:cstheme="majorHAnsi"/>
          <w:lang w:val="es-ES"/>
        </w:rPr>
        <w:t>legislativo</w:t>
      </w:r>
      <w:r w:rsidRPr="00CD0C90">
        <w:rPr>
          <w:rFonts w:asciiTheme="majorHAnsi" w:hAnsiTheme="majorHAnsi" w:cstheme="majorHAnsi"/>
          <w:lang w:val="es-ES"/>
        </w:rPr>
        <w:t xml:space="preserve"> y la sociedad civil es el Fórum Nacional da Transição Energética (FONTE), instituido por la Resolução CNPE </w:t>
      </w:r>
      <w:r w:rsidR="00422C3B" w:rsidRPr="00CD0C90">
        <w:rPr>
          <w:rFonts w:asciiTheme="majorHAnsi" w:hAnsiTheme="majorHAnsi" w:cstheme="majorHAnsi"/>
          <w:lang w:val="es-ES"/>
        </w:rPr>
        <w:t xml:space="preserve">No. </w:t>
      </w:r>
      <w:r w:rsidRPr="00CD0C90">
        <w:rPr>
          <w:rFonts w:asciiTheme="majorHAnsi" w:hAnsiTheme="majorHAnsi" w:cstheme="majorHAnsi"/>
          <w:lang w:val="es-ES"/>
        </w:rPr>
        <w:t>5</w:t>
      </w:r>
      <w:r w:rsidR="00422C3B" w:rsidRPr="00CD0C90">
        <w:rPr>
          <w:rFonts w:asciiTheme="majorHAnsi" w:hAnsiTheme="majorHAnsi" w:cstheme="majorHAnsi"/>
          <w:lang w:val="es-ES"/>
        </w:rPr>
        <w:t xml:space="preserve"> </w:t>
      </w:r>
      <w:r w:rsidRPr="00CD0C90">
        <w:rPr>
          <w:rFonts w:asciiTheme="majorHAnsi" w:hAnsiTheme="majorHAnsi" w:cstheme="majorHAnsi"/>
          <w:lang w:val="es-ES"/>
        </w:rPr>
        <w:t xml:space="preserve">de 2024, con una composición tripartita de 87 miembros </w:t>
      </w:r>
      <w:r w:rsidR="00422C3B" w:rsidRPr="00CD0C90">
        <w:rPr>
          <w:rFonts w:asciiTheme="majorHAnsi" w:hAnsiTheme="majorHAnsi" w:cstheme="majorHAnsi"/>
          <w:lang w:val="es-ES"/>
        </w:rPr>
        <w:t>(</w:t>
      </w:r>
      <w:r w:rsidRPr="00CD0C90">
        <w:rPr>
          <w:rFonts w:asciiTheme="majorHAnsi" w:hAnsiTheme="majorHAnsi" w:cstheme="majorHAnsi"/>
          <w:lang w:val="es-ES"/>
        </w:rPr>
        <w:t>29 representantes gubernamentales, 29 del sector productivo y 29 de la sociedad civil y la academia</w:t>
      </w:r>
      <w:r w:rsidR="00422C3B" w:rsidRPr="00CD0C90">
        <w:rPr>
          <w:rFonts w:asciiTheme="majorHAnsi" w:hAnsiTheme="majorHAnsi" w:cstheme="majorHAnsi"/>
          <w:lang w:val="es-ES"/>
        </w:rPr>
        <w:t xml:space="preserve">), que es un </w:t>
      </w:r>
      <w:r w:rsidRPr="00CD0C90">
        <w:rPr>
          <w:rFonts w:asciiTheme="majorHAnsi" w:hAnsiTheme="majorHAnsi" w:cstheme="majorHAnsi"/>
          <w:lang w:val="es-ES"/>
        </w:rPr>
        <w:t>espacio de construcción de consenso previo a la radicación formal de proyectos, reduciendo así la probabilidad de que estos sean archivados en comisión.</w:t>
      </w:r>
    </w:p>
    <w:p w14:paraId="5F045B74" w14:textId="77777777" w:rsidR="003C0F50" w:rsidRPr="00CD0C90" w:rsidRDefault="00622B8B"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Esta arquitectura institucional </w:t>
      </w:r>
      <w:r w:rsidR="003C0F50" w:rsidRPr="00CD0C90">
        <w:rPr>
          <w:rFonts w:asciiTheme="majorHAnsi" w:hAnsiTheme="majorHAnsi" w:cstheme="majorHAnsi"/>
          <w:lang w:val="es-ES"/>
        </w:rPr>
        <w:t>(</w:t>
      </w:r>
      <w:r w:rsidRPr="00CD0C90">
        <w:rPr>
          <w:rFonts w:asciiTheme="majorHAnsi" w:hAnsiTheme="majorHAnsi" w:cstheme="majorHAnsi"/>
          <w:lang w:val="es-ES"/>
        </w:rPr>
        <w:t>CNPE, CONLE y FONTE</w:t>
      </w:r>
      <w:r w:rsidR="003C0F50" w:rsidRPr="00CD0C90">
        <w:rPr>
          <w:rFonts w:asciiTheme="majorHAnsi" w:hAnsiTheme="majorHAnsi" w:cstheme="majorHAnsi"/>
          <w:lang w:val="es-ES"/>
        </w:rPr>
        <w:t>)</w:t>
      </w:r>
      <w:r w:rsidRPr="00CD0C90">
        <w:rPr>
          <w:rFonts w:asciiTheme="majorHAnsi" w:hAnsiTheme="majorHAnsi" w:cstheme="majorHAnsi"/>
          <w:lang w:val="es-ES"/>
        </w:rPr>
        <w:t xml:space="preserve"> sustenta una posición </w:t>
      </w:r>
      <w:r w:rsidR="003C0F50" w:rsidRPr="00CD0C90">
        <w:rPr>
          <w:rFonts w:asciiTheme="majorHAnsi" w:hAnsiTheme="majorHAnsi" w:cstheme="majorHAnsi"/>
          <w:lang w:val="es-ES"/>
        </w:rPr>
        <w:t>muy</w:t>
      </w:r>
      <w:r w:rsidRPr="00CD0C90">
        <w:rPr>
          <w:rFonts w:asciiTheme="majorHAnsi" w:hAnsiTheme="majorHAnsi" w:cstheme="majorHAnsi"/>
          <w:lang w:val="es-ES"/>
        </w:rPr>
        <w:t xml:space="preserve"> favorable de Brasil en los indicadores internacionales de transición energética: el Energy Transition Index del Foro Económico Mundial ubicó a Brasil en el puesto 15 de 118 países en su edición de 2025</w:t>
      </w:r>
      <w:r w:rsidR="003C0F50" w:rsidRPr="00CD0C90">
        <w:rPr>
          <w:rFonts w:asciiTheme="majorHAnsi" w:hAnsiTheme="majorHAnsi" w:cstheme="majorHAnsi"/>
          <w:lang w:val="es-ES"/>
        </w:rPr>
        <w:t>, destacando al país carioca</w:t>
      </w:r>
      <w:r w:rsidRPr="00CD0C90">
        <w:rPr>
          <w:rFonts w:asciiTheme="majorHAnsi" w:hAnsiTheme="majorHAnsi" w:cstheme="majorHAnsi"/>
          <w:lang w:val="es-ES"/>
        </w:rPr>
        <w:t xml:space="preserve"> como referente regional en diversificación energética (</w:t>
      </w:r>
      <w:bookmarkStart w:id="36" w:name="_Hlk234688358"/>
      <w:r w:rsidRPr="00CD0C90">
        <w:rPr>
          <w:rFonts w:asciiTheme="majorHAnsi" w:hAnsiTheme="majorHAnsi" w:cstheme="majorHAnsi"/>
          <w:lang w:val="es-ES"/>
        </w:rPr>
        <w:t>World Economic Forum, Fostering Effective Energy Transition 2025</w:t>
      </w:r>
      <w:bookmarkEnd w:id="36"/>
      <w:r w:rsidR="003C0F50" w:rsidRPr="00CD0C90">
        <w:rPr>
          <w:rFonts w:asciiTheme="majorHAnsi" w:hAnsiTheme="majorHAnsi" w:cstheme="majorHAnsi"/>
          <w:lang w:val="es-ES"/>
        </w:rPr>
        <w:t>).</w:t>
      </w:r>
    </w:p>
    <w:p w14:paraId="014CA348" w14:textId="20EAC70F" w:rsidR="00622B8B" w:rsidRPr="00CD0C90" w:rsidRDefault="003C0F50"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Sumado a esto,</w:t>
      </w:r>
      <w:r w:rsidR="00622B8B" w:rsidRPr="00CD0C90">
        <w:rPr>
          <w:rFonts w:asciiTheme="majorHAnsi" w:hAnsiTheme="majorHAnsi" w:cstheme="majorHAnsi"/>
          <w:lang w:val="es-ES"/>
        </w:rPr>
        <w:t xml:space="preserve"> el Balanço Energético Nacional 2026 de la </w:t>
      </w:r>
      <w:bookmarkStart w:id="37" w:name="_Hlk234688408"/>
      <w:r w:rsidR="00622B8B" w:rsidRPr="00CD0C90">
        <w:rPr>
          <w:rFonts w:asciiTheme="majorHAnsi" w:hAnsiTheme="majorHAnsi" w:cstheme="majorHAnsi"/>
          <w:lang w:val="es-ES"/>
        </w:rPr>
        <w:t xml:space="preserve">Empresa de Pesquisa Energética (EPE) </w:t>
      </w:r>
      <w:bookmarkEnd w:id="37"/>
      <w:r w:rsidRPr="00CD0C90">
        <w:rPr>
          <w:rFonts w:asciiTheme="majorHAnsi" w:hAnsiTheme="majorHAnsi" w:cstheme="majorHAnsi"/>
          <w:lang w:val="es-ES"/>
        </w:rPr>
        <w:t>ha reportado</w:t>
      </w:r>
      <w:r w:rsidR="00622B8B" w:rsidRPr="00CD0C90">
        <w:rPr>
          <w:rFonts w:asciiTheme="majorHAnsi" w:hAnsiTheme="majorHAnsi" w:cstheme="majorHAnsi"/>
          <w:lang w:val="es-ES"/>
        </w:rPr>
        <w:t xml:space="preserve"> que la participación de renovables en la matriz eléctrica brasileña alcanzó 86,8% en 2025, con eólica y solar aportando conjuntamente 26,4% de la generación total (</w:t>
      </w:r>
      <w:bookmarkStart w:id="38" w:name="_Hlk234688393"/>
      <w:r w:rsidR="00622B8B" w:rsidRPr="00CD0C90">
        <w:rPr>
          <w:rFonts w:asciiTheme="majorHAnsi" w:hAnsiTheme="majorHAnsi" w:cstheme="majorHAnsi"/>
          <w:lang w:val="es-ES"/>
        </w:rPr>
        <w:t>EPE, 2026</w:t>
      </w:r>
      <w:bookmarkEnd w:id="38"/>
      <w:r w:rsidR="00622B8B" w:rsidRPr="00CD0C90">
        <w:rPr>
          <w:rFonts w:asciiTheme="majorHAnsi" w:hAnsiTheme="majorHAnsi" w:cstheme="majorHAnsi"/>
          <w:lang w:val="es-ES"/>
        </w:rPr>
        <w:t>).</w:t>
      </w:r>
    </w:p>
    <w:p w14:paraId="7420B78D" w14:textId="51B1AD33" w:rsidR="00622B8B" w:rsidRPr="00CD0C90" w:rsidRDefault="003C0F50"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A diferencia de Colombia, </w:t>
      </w:r>
      <w:r w:rsidR="00412AC1" w:rsidRPr="00CD0C90">
        <w:rPr>
          <w:rFonts w:asciiTheme="majorHAnsi" w:hAnsiTheme="majorHAnsi" w:cstheme="majorHAnsi"/>
          <w:lang w:val="es-ES"/>
        </w:rPr>
        <w:t xml:space="preserve">aquí </w:t>
      </w:r>
      <w:r w:rsidR="00622B8B" w:rsidRPr="00CD0C90">
        <w:rPr>
          <w:rFonts w:asciiTheme="majorHAnsi" w:hAnsiTheme="majorHAnsi" w:cstheme="majorHAnsi"/>
          <w:lang w:val="es-ES"/>
        </w:rPr>
        <w:t xml:space="preserve">la multiplicidad de actores con capacidad de bloqueo </w:t>
      </w:r>
      <w:r w:rsidRPr="00CD0C90">
        <w:rPr>
          <w:rFonts w:asciiTheme="majorHAnsi" w:hAnsiTheme="majorHAnsi" w:cstheme="majorHAnsi"/>
          <w:lang w:val="es-ES"/>
        </w:rPr>
        <w:t xml:space="preserve">(Tsebelis, 2002) </w:t>
      </w:r>
      <w:r w:rsidR="00622B8B" w:rsidRPr="00CD0C90">
        <w:rPr>
          <w:rFonts w:asciiTheme="majorHAnsi" w:hAnsiTheme="majorHAnsi" w:cstheme="majorHAnsi"/>
          <w:lang w:val="es-ES"/>
        </w:rPr>
        <w:t xml:space="preserve">no se </w:t>
      </w:r>
      <w:r w:rsidRPr="00CD0C90">
        <w:rPr>
          <w:rFonts w:asciiTheme="majorHAnsi" w:hAnsiTheme="majorHAnsi" w:cstheme="majorHAnsi"/>
          <w:lang w:val="es-ES"/>
        </w:rPr>
        <w:t>representa</w:t>
      </w:r>
      <w:r w:rsidR="00622B8B" w:rsidRPr="00CD0C90">
        <w:rPr>
          <w:rFonts w:asciiTheme="majorHAnsi" w:hAnsiTheme="majorHAnsi" w:cstheme="majorHAnsi"/>
          <w:lang w:val="es-ES"/>
        </w:rPr>
        <w:t xml:space="preserve"> </w:t>
      </w:r>
      <w:r w:rsidRPr="00CD0C90">
        <w:rPr>
          <w:rFonts w:asciiTheme="majorHAnsi" w:hAnsiTheme="majorHAnsi" w:cstheme="majorHAnsi"/>
          <w:lang w:val="es-ES"/>
        </w:rPr>
        <w:t>u</w:t>
      </w:r>
      <w:r w:rsidR="00622B8B" w:rsidRPr="00CD0C90">
        <w:rPr>
          <w:rFonts w:asciiTheme="majorHAnsi" w:hAnsiTheme="majorHAnsi" w:cstheme="majorHAnsi"/>
          <w:lang w:val="es-ES"/>
        </w:rPr>
        <w:t>n</w:t>
      </w:r>
      <w:r w:rsidRPr="00CD0C90">
        <w:rPr>
          <w:rFonts w:asciiTheme="majorHAnsi" w:hAnsiTheme="majorHAnsi" w:cstheme="majorHAnsi"/>
          <w:lang w:val="es-ES"/>
        </w:rPr>
        <w:t>a</w:t>
      </w:r>
      <w:r w:rsidR="00622B8B" w:rsidRPr="00CD0C90">
        <w:rPr>
          <w:rFonts w:asciiTheme="majorHAnsi" w:hAnsiTheme="majorHAnsi" w:cstheme="majorHAnsi"/>
          <w:lang w:val="es-ES"/>
        </w:rPr>
        <w:t xml:space="preserve"> parálisis legislativa cuando existe un mecanismo institucionalizado de agregación de preferencias antes del ingreso del proyecto a comisión. </w:t>
      </w:r>
      <w:r w:rsidRPr="00CD0C90">
        <w:rPr>
          <w:rFonts w:asciiTheme="majorHAnsi" w:hAnsiTheme="majorHAnsi" w:cstheme="majorHAnsi"/>
          <w:lang w:val="es-ES"/>
        </w:rPr>
        <w:t>En Brasil las comisiones de energía tienden a ratificar acuerdos ya construidos en instancias previas, lo que reduce sensiblemente su función de veto efectivo, mientras que e</w:t>
      </w:r>
      <w:r w:rsidR="00622B8B" w:rsidRPr="00CD0C90">
        <w:rPr>
          <w:rFonts w:asciiTheme="majorHAnsi" w:hAnsiTheme="majorHAnsi" w:cstheme="majorHAnsi"/>
          <w:lang w:val="es-ES"/>
        </w:rPr>
        <w:t xml:space="preserve">n Colombia, el gatekeeping en materia energética se concentra en la Comisión Quinta del Senado y la Comisión Sexta de la Cámara, instancias en las que se archiva la mayoría de las iniciativas ministeriales sobre </w:t>
      </w:r>
      <w:r w:rsidRPr="00CD0C90">
        <w:rPr>
          <w:rFonts w:asciiTheme="majorHAnsi" w:hAnsiTheme="majorHAnsi" w:cstheme="majorHAnsi"/>
          <w:lang w:val="es-ES"/>
        </w:rPr>
        <w:t>el tema</w:t>
      </w:r>
      <w:r w:rsidR="00622B8B" w:rsidRPr="00CD0C90">
        <w:rPr>
          <w:rFonts w:asciiTheme="majorHAnsi" w:hAnsiTheme="majorHAnsi" w:cstheme="majorHAnsi"/>
          <w:lang w:val="es-ES"/>
        </w:rPr>
        <w:t xml:space="preserve">, sin que exista un espacio equivalente al FONTE o al CNPE que anticipe y neutralice esos puntos de veto antes de la radicación formal. </w:t>
      </w:r>
    </w:p>
    <w:p w14:paraId="2B0D2EA2" w14:textId="77777777" w:rsidR="00776899" w:rsidRPr="00CD0C90" w:rsidRDefault="00776899" w:rsidP="00CD0C90">
      <w:pPr>
        <w:pBdr>
          <w:top w:val="nil"/>
          <w:left w:val="nil"/>
          <w:bottom w:val="nil"/>
          <w:right w:val="nil"/>
          <w:between w:val="nil"/>
        </w:pBdr>
        <w:spacing w:before="240" w:after="0"/>
        <w:jc w:val="both"/>
        <w:rPr>
          <w:rFonts w:asciiTheme="majorHAnsi" w:hAnsiTheme="majorHAnsi" w:cstheme="majorHAnsi"/>
          <w:b/>
          <w:bCs/>
          <w:lang w:val="es-ES"/>
        </w:rPr>
      </w:pPr>
      <w:r w:rsidRPr="00CD0C90">
        <w:rPr>
          <w:rFonts w:asciiTheme="majorHAnsi" w:hAnsiTheme="majorHAnsi" w:cstheme="majorHAnsi"/>
          <w:b/>
          <w:bCs/>
          <w:lang w:val="es-ES"/>
        </w:rPr>
        <w:t>Tabla 2.</w:t>
      </w:r>
    </w:p>
    <w:p w14:paraId="33C2CCA7" w14:textId="35EE4521" w:rsidR="00776899" w:rsidRPr="00CD0C90" w:rsidRDefault="00776899" w:rsidP="00CD0C90">
      <w:pPr>
        <w:pBdr>
          <w:top w:val="nil"/>
          <w:left w:val="nil"/>
          <w:bottom w:val="nil"/>
          <w:right w:val="nil"/>
          <w:between w:val="nil"/>
        </w:pBdr>
        <w:spacing w:after="0"/>
        <w:jc w:val="both"/>
        <w:rPr>
          <w:rFonts w:asciiTheme="majorHAnsi" w:hAnsiTheme="majorHAnsi" w:cstheme="majorHAnsi"/>
          <w:b/>
          <w:bCs/>
          <w:lang w:val="es-ES"/>
        </w:rPr>
      </w:pPr>
      <w:r w:rsidRPr="00CD0C90">
        <w:rPr>
          <w:rStyle w:val="normaltextrun"/>
          <w:rFonts w:asciiTheme="majorHAnsi" w:hAnsiTheme="majorHAnsi" w:cstheme="majorHAnsi"/>
          <w:b/>
          <w:bCs/>
          <w:color w:val="242424"/>
          <w:shd w:val="clear" w:color="auto" w:fill="FFFFFF"/>
          <w:lang w:val="es-ES"/>
        </w:rPr>
        <w:t xml:space="preserve">Comparación Dinámica </w:t>
      </w:r>
      <w:r w:rsidR="001D4B0A" w:rsidRPr="00CD0C90">
        <w:rPr>
          <w:rStyle w:val="normaltextrun"/>
          <w:rFonts w:asciiTheme="majorHAnsi" w:hAnsiTheme="majorHAnsi" w:cstheme="majorHAnsi"/>
          <w:b/>
          <w:bCs/>
          <w:color w:val="242424"/>
          <w:shd w:val="clear" w:color="auto" w:fill="FFFFFF"/>
          <w:lang w:val="es-ES"/>
        </w:rPr>
        <w:t>legislativo</w:t>
      </w:r>
      <w:r w:rsidRPr="00CD0C90">
        <w:rPr>
          <w:rStyle w:val="normaltextrun"/>
          <w:rFonts w:asciiTheme="majorHAnsi" w:hAnsiTheme="majorHAnsi" w:cstheme="majorHAnsi"/>
          <w:b/>
          <w:bCs/>
          <w:color w:val="242424"/>
          <w:shd w:val="clear" w:color="auto" w:fill="FFFFFF"/>
          <w:lang w:val="es-ES"/>
        </w:rPr>
        <w:t>-</w:t>
      </w:r>
      <w:r w:rsidR="001D4B0A" w:rsidRPr="00CD0C90">
        <w:rPr>
          <w:rStyle w:val="normaltextrun"/>
          <w:rFonts w:asciiTheme="majorHAnsi" w:hAnsiTheme="majorHAnsi" w:cstheme="majorHAnsi"/>
          <w:b/>
          <w:bCs/>
          <w:color w:val="242424"/>
          <w:shd w:val="clear" w:color="auto" w:fill="FFFFFF"/>
          <w:lang w:val="es-ES"/>
        </w:rPr>
        <w:t>ejecutivo</w:t>
      </w:r>
      <w:r w:rsidRPr="00CD0C90">
        <w:rPr>
          <w:rStyle w:val="normaltextrun"/>
          <w:rFonts w:asciiTheme="majorHAnsi" w:hAnsiTheme="majorHAnsi" w:cstheme="majorHAnsi"/>
          <w:b/>
          <w:bCs/>
          <w:color w:val="242424"/>
          <w:shd w:val="clear" w:color="auto" w:fill="FFFFFF"/>
          <w:lang w:val="es-ES"/>
        </w:rPr>
        <w:t xml:space="preserve"> Colombia - Brasil</w:t>
      </w:r>
      <w:r w:rsidRPr="00CD0C90">
        <w:rPr>
          <w:rFonts w:asciiTheme="majorHAnsi" w:hAnsiTheme="majorHAnsi" w:cstheme="majorHAnsi"/>
          <w:b/>
          <w:bCs/>
          <w:lang w:val="es-ES"/>
        </w:rPr>
        <w:t> </w:t>
      </w:r>
    </w:p>
    <w:p w14:paraId="5331FE4E" w14:textId="77777777" w:rsidR="00776899" w:rsidRPr="00CD0C90" w:rsidRDefault="00776899" w:rsidP="00CD0C90">
      <w:pPr>
        <w:pBdr>
          <w:top w:val="nil"/>
          <w:left w:val="nil"/>
          <w:bottom w:val="nil"/>
          <w:right w:val="nil"/>
          <w:between w:val="nil"/>
        </w:pBdr>
        <w:spacing w:after="0"/>
        <w:jc w:val="both"/>
        <w:rPr>
          <w:rFonts w:asciiTheme="majorHAnsi" w:hAnsiTheme="majorHAnsi" w:cstheme="majorHAnsi"/>
          <w:b/>
          <w:bCs/>
          <w:lang w:val="es-ES"/>
        </w:rPr>
      </w:pPr>
    </w:p>
    <w:tbl>
      <w:tblPr>
        <w:tblStyle w:val="Tablaconcuadrcula2-nfasis6"/>
        <w:tblW w:w="8591" w:type="dxa"/>
        <w:tblLayout w:type="fixed"/>
        <w:tblLook w:val="04A0" w:firstRow="1" w:lastRow="0" w:firstColumn="1" w:lastColumn="0" w:noHBand="0" w:noVBand="1"/>
      </w:tblPr>
      <w:tblGrid>
        <w:gridCol w:w="1909"/>
        <w:gridCol w:w="2103"/>
        <w:gridCol w:w="2608"/>
        <w:gridCol w:w="1971"/>
      </w:tblGrid>
      <w:tr w:rsidR="00776899" w:rsidRPr="00CD0C90" w14:paraId="0404771D" w14:textId="77777777" w:rsidTr="00FC408E">
        <w:trPr>
          <w:cnfStyle w:val="100000000000" w:firstRow="1" w:lastRow="0" w:firstColumn="0" w:lastColumn="0" w:oddVBand="0" w:evenVBand="0" w:oddHBand="0" w:evenHBand="0" w:firstRowFirstColumn="0" w:firstRowLastColumn="0" w:lastRowFirstColumn="0" w:lastRowLastColumn="0"/>
          <w:trHeight w:val="337"/>
        </w:trPr>
        <w:tc>
          <w:tcPr>
            <w:cnfStyle w:val="001000000000" w:firstRow="0" w:lastRow="0" w:firstColumn="1" w:lastColumn="0" w:oddVBand="0" w:evenVBand="0" w:oddHBand="0" w:evenHBand="0" w:firstRowFirstColumn="0" w:firstRowLastColumn="0" w:lastRowFirstColumn="0" w:lastRowLastColumn="0"/>
            <w:tcW w:w="1909" w:type="dxa"/>
            <w:vAlign w:val="center"/>
            <w:hideMark/>
          </w:tcPr>
          <w:p w14:paraId="3FF5D5CB" w14:textId="77777777" w:rsidR="00776899" w:rsidRPr="00CD0C90" w:rsidRDefault="00776899" w:rsidP="00CD0C90">
            <w:pPr>
              <w:spacing w:line="276" w:lineRule="auto"/>
              <w:jc w:val="center"/>
              <w:textAlignment w:val="baseline"/>
              <w:rPr>
                <w:rFonts w:asciiTheme="majorHAnsi" w:eastAsia="Times New Roman" w:hAnsiTheme="majorHAnsi" w:cstheme="majorHAnsi"/>
              </w:rPr>
            </w:pPr>
            <w:r w:rsidRPr="00CD0C90">
              <w:rPr>
                <w:rFonts w:asciiTheme="majorHAnsi" w:eastAsia="Times New Roman" w:hAnsiTheme="majorHAnsi" w:cstheme="majorHAnsi"/>
                <w:color w:val="27251E"/>
                <w:lang w:val="es-ES"/>
              </w:rPr>
              <w:lastRenderedPageBreak/>
              <w:t>Dimensión</w:t>
            </w:r>
          </w:p>
        </w:tc>
        <w:tc>
          <w:tcPr>
            <w:tcW w:w="2103" w:type="dxa"/>
            <w:vAlign w:val="center"/>
            <w:hideMark/>
          </w:tcPr>
          <w:p w14:paraId="5517B652" w14:textId="77777777" w:rsidR="00776899" w:rsidRPr="00CD0C90" w:rsidRDefault="00776899" w:rsidP="00CD0C90">
            <w:pPr>
              <w:spacing w:line="276"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rPr>
            </w:pPr>
            <w:r w:rsidRPr="00CD0C90">
              <w:rPr>
                <w:rFonts w:asciiTheme="majorHAnsi" w:eastAsia="Times New Roman" w:hAnsiTheme="majorHAnsi" w:cstheme="majorHAnsi"/>
                <w:color w:val="27251E"/>
                <w:lang w:val="es-ES"/>
              </w:rPr>
              <w:t>Colombia</w:t>
            </w:r>
          </w:p>
        </w:tc>
        <w:tc>
          <w:tcPr>
            <w:tcW w:w="2608" w:type="dxa"/>
            <w:vAlign w:val="center"/>
            <w:hideMark/>
          </w:tcPr>
          <w:p w14:paraId="09BA3F02" w14:textId="77777777" w:rsidR="00776899" w:rsidRPr="00CD0C90" w:rsidRDefault="00776899" w:rsidP="00CD0C90">
            <w:pPr>
              <w:spacing w:line="276"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rPr>
            </w:pPr>
            <w:r w:rsidRPr="00CD0C90">
              <w:rPr>
                <w:rFonts w:asciiTheme="majorHAnsi" w:eastAsia="Times New Roman" w:hAnsiTheme="majorHAnsi" w:cstheme="majorHAnsi"/>
                <w:color w:val="27251E"/>
                <w:lang w:val="es-ES"/>
              </w:rPr>
              <w:t>Brasil</w:t>
            </w:r>
          </w:p>
        </w:tc>
        <w:tc>
          <w:tcPr>
            <w:tcW w:w="1971" w:type="dxa"/>
            <w:vAlign w:val="center"/>
            <w:hideMark/>
          </w:tcPr>
          <w:p w14:paraId="490FF3B0" w14:textId="77777777" w:rsidR="00776899" w:rsidRPr="00CD0C90" w:rsidRDefault="00776899" w:rsidP="00CD0C90">
            <w:pPr>
              <w:spacing w:line="276"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rPr>
            </w:pPr>
            <w:r w:rsidRPr="00CD0C90">
              <w:rPr>
                <w:rFonts w:asciiTheme="majorHAnsi" w:eastAsia="Times New Roman" w:hAnsiTheme="majorHAnsi" w:cstheme="majorHAnsi"/>
                <w:color w:val="27251E"/>
                <w:lang w:val="es-ES"/>
              </w:rPr>
              <w:t>Implicancia TEJ</w:t>
            </w:r>
          </w:p>
        </w:tc>
      </w:tr>
      <w:tr w:rsidR="00622B8B" w:rsidRPr="00CD0C90" w14:paraId="76D39A4D" w14:textId="77777777" w:rsidTr="00FC408E">
        <w:trPr>
          <w:cnfStyle w:val="000000100000" w:firstRow="0" w:lastRow="0" w:firstColumn="0" w:lastColumn="0" w:oddVBand="0" w:evenVBand="0" w:oddHBand="1" w:evenHBand="0" w:firstRowFirstColumn="0" w:firstRowLastColumn="0" w:lastRowFirstColumn="0" w:lastRowLastColumn="0"/>
          <w:trHeight w:val="674"/>
        </w:trPr>
        <w:tc>
          <w:tcPr>
            <w:cnfStyle w:val="001000000000" w:firstRow="0" w:lastRow="0" w:firstColumn="1" w:lastColumn="0" w:oddVBand="0" w:evenVBand="0" w:oddHBand="0" w:evenHBand="0" w:firstRowFirstColumn="0" w:firstRowLastColumn="0" w:lastRowFirstColumn="0" w:lastRowLastColumn="0"/>
            <w:tcW w:w="1909" w:type="dxa"/>
            <w:vAlign w:val="center"/>
            <w:hideMark/>
          </w:tcPr>
          <w:p w14:paraId="3A5A54A6" w14:textId="450A92DD" w:rsidR="00622B8B" w:rsidRPr="00CD0C90" w:rsidRDefault="00622B8B" w:rsidP="00CD0C90">
            <w:pPr>
              <w:spacing w:line="276" w:lineRule="auto"/>
              <w:jc w:val="center"/>
              <w:textAlignment w:val="baseline"/>
              <w:rPr>
                <w:rFonts w:asciiTheme="majorHAnsi" w:eastAsia="Times New Roman" w:hAnsiTheme="majorHAnsi" w:cstheme="majorHAnsi"/>
              </w:rPr>
            </w:pPr>
            <w:r w:rsidRPr="00CD0C90">
              <w:rPr>
                <w:rFonts w:asciiTheme="majorHAnsi" w:hAnsiTheme="majorHAnsi" w:cstheme="majorHAnsi"/>
              </w:rPr>
              <w:t>Fragmentación partidaria</w:t>
            </w:r>
          </w:p>
        </w:tc>
        <w:tc>
          <w:tcPr>
            <w:tcW w:w="2103" w:type="dxa"/>
            <w:vAlign w:val="center"/>
            <w:hideMark/>
          </w:tcPr>
          <w:p w14:paraId="366E383A" w14:textId="3E88D8D9" w:rsidR="00622B8B" w:rsidRPr="00CD0C90" w:rsidRDefault="00622B8B" w:rsidP="00CD0C90">
            <w:pPr>
              <w:spacing w:line="276"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rPr>
            </w:pPr>
            <w:r w:rsidRPr="00CD0C90">
              <w:rPr>
                <w:rFonts w:asciiTheme="majorHAnsi" w:hAnsiTheme="majorHAnsi" w:cstheme="majorHAnsi"/>
              </w:rPr>
              <w:t>Alta, sin mecanismo estable de agregación de preferencias</w:t>
            </w:r>
          </w:p>
        </w:tc>
        <w:tc>
          <w:tcPr>
            <w:tcW w:w="2608" w:type="dxa"/>
            <w:vAlign w:val="center"/>
            <w:hideMark/>
          </w:tcPr>
          <w:p w14:paraId="3D6FCD55" w14:textId="011783CC" w:rsidR="00622B8B" w:rsidRPr="00CD0C90" w:rsidRDefault="00622B8B" w:rsidP="00CD0C90">
            <w:pPr>
              <w:spacing w:line="276"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rPr>
            </w:pPr>
            <w:r w:rsidRPr="00CD0C90">
              <w:rPr>
                <w:rFonts w:asciiTheme="majorHAnsi" w:hAnsiTheme="majorHAnsi" w:cstheme="majorHAnsi"/>
              </w:rPr>
              <w:t>Alta, pero mediada por el CNPE y el FONTE antes del ingreso a comisión</w:t>
            </w:r>
          </w:p>
        </w:tc>
        <w:tc>
          <w:tcPr>
            <w:tcW w:w="1971" w:type="dxa"/>
            <w:vAlign w:val="center"/>
            <w:hideMark/>
          </w:tcPr>
          <w:p w14:paraId="0524FB91" w14:textId="58BF49C1" w:rsidR="00622B8B" w:rsidRPr="00CD0C90" w:rsidRDefault="00622B8B" w:rsidP="00CD0C90">
            <w:pPr>
              <w:spacing w:line="276"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rPr>
            </w:pPr>
            <w:r w:rsidRPr="00CD0C90">
              <w:rPr>
                <w:rFonts w:asciiTheme="majorHAnsi" w:hAnsiTheme="majorHAnsi" w:cstheme="majorHAnsi"/>
              </w:rPr>
              <w:t>Brasil: acuerdos más predecibles</w:t>
            </w:r>
          </w:p>
        </w:tc>
      </w:tr>
      <w:tr w:rsidR="00622B8B" w:rsidRPr="00CD0C90" w14:paraId="3F013321" w14:textId="77777777" w:rsidTr="00FC408E">
        <w:trPr>
          <w:trHeight w:val="494"/>
        </w:trPr>
        <w:tc>
          <w:tcPr>
            <w:cnfStyle w:val="001000000000" w:firstRow="0" w:lastRow="0" w:firstColumn="1" w:lastColumn="0" w:oddVBand="0" w:evenVBand="0" w:oddHBand="0" w:evenHBand="0" w:firstRowFirstColumn="0" w:firstRowLastColumn="0" w:lastRowFirstColumn="0" w:lastRowLastColumn="0"/>
            <w:tcW w:w="1909" w:type="dxa"/>
            <w:vAlign w:val="center"/>
            <w:hideMark/>
          </w:tcPr>
          <w:p w14:paraId="2ED377C1" w14:textId="0A1BCB0B" w:rsidR="00622B8B" w:rsidRPr="00CD0C90" w:rsidRDefault="00622B8B" w:rsidP="00CD0C90">
            <w:pPr>
              <w:spacing w:line="276" w:lineRule="auto"/>
              <w:jc w:val="center"/>
              <w:textAlignment w:val="baseline"/>
              <w:rPr>
                <w:rFonts w:asciiTheme="majorHAnsi" w:eastAsia="Times New Roman" w:hAnsiTheme="majorHAnsi" w:cstheme="majorHAnsi"/>
              </w:rPr>
            </w:pPr>
            <w:r w:rsidRPr="00CD0C90">
              <w:rPr>
                <w:rFonts w:asciiTheme="majorHAnsi" w:hAnsiTheme="majorHAnsi" w:cstheme="majorHAnsi"/>
              </w:rPr>
              <w:t>Gatekeeping legislativo</w:t>
            </w:r>
          </w:p>
        </w:tc>
        <w:tc>
          <w:tcPr>
            <w:tcW w:w="2103" w:type="dxa"/>
            <w:vAlign w:val="center"/>
            <w:hideMark/>
          </w:tcPr>
          <w:p w14:paraId="01A603A7" w14:textId="77CA07D2" w:rsidR="00622B8B" w:rsidRPr="00CD0C90" w:rsidRDefault="00622B8B"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rPr>
            </w:pPr>
            <w:r w:rsidRPr="00CD0C90">
              <w:rPr>
                <w:rFonts w:asciiTheme="majorHAnsi" w:hAnsiTheme="majorHAnsi" w:cstheme="majorHAnsi"/>
              </w:rPr>
              <w:t>Concentrado en Comisión Quinta de Senado y Sexta de Cámara</w:t>
            </w:r>
          </w:p>
        </w:tc>
        <w:tc>
          <w:tcPr>
            <w:tcW w:w="2608" w:type="dxa"/>
            <w:vAlign w:val="center"/>
            <w:hideMark/>
          </w:tcPr>
          <w:p w14:paraId="58E6DDA8" w14:textId="7E77F1D5" w:rsidR="00622B8B" w:rsidRPr="00CD0C90" w:rsidRDefault="00622B8B"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rPr>
            </w:pPr>
            <w:r w:rsidRPr="00CD0C90">
              <w:rPr>
                <w:rFonts w:asciiTheme="majorHAnsi" w:hAnsiTheme="majorHAnsi" w:cstheme="majorHAnsi"/>
              </w:rPr>
              <w:t>Distribuido, con filtro previo en instancias interministeriales</w:t>
            </w:r>
          </w:p>
        </w:tc>
        <w:tc>
          <w:tcPr>
            <w:tcW w:w="1971" w:type="dxa"/>
            <w:vAlign w:val="center"/>
            <w:hideMark/>
          </w:tcPr>
          <w:p w14:paraId="2BD25485" w14:textId="4C6FE976" w:rsidR="00622B8B" w:rsidRPr="00CD0C90" w:rsidRDefault="00622B8B"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rPr>
            </w:pPr>
            <w:r w:rsidRPr="00CD0C90">
              <w:rPr>
                <w:rFonts w:asciiTheme="majorHAnsi" w:hAnsiTheme="majorHAnsi" w:cstheme="majorHAnsi"/>
              </w:rPr>
              <w:t>Colombia: mayor riesgo de archivo</w:t>
            </w:r>
          </w:p>
        </w:tc>
      </w:tr>
      <w:tr w:rsidR="00622B8B" w:rsidRPr="00CD0C90" w14:paraId="1B474B1B" w14:textId="77777777" w:rsidTr="00FC408E">
        <w:trPr>
          <w:cnfStyle w:val="000000100000" w:firstRow="0" w:lastRow="0" w:firstColumn="0" w:lastColumn="0" w:oddVBand="0" w:evenVBand="0" w:oddHBand="1" w:evenHBand="0" w:firstRowFirstColumn="0" w:firstRowLastColumn="0" w:lastRowFirstColumn="0" w:lastRowLastColumn="0"/>
          <w:trHeight w:val="674"/>
        </w:trPr>
        <w:tc>
          <w:tcPr>
            <w:cnfStyle w:val="001000000000" w:firstRow="0" w:lastRow="0" w:firstColumn="1" w:lastColumn="0" w:oddVBand="0" w:evenVBand="0" w:oddHBand="0" w:evenHBand="0" w:firstRowFirstColumn="0" w:firstRowLastColumn="0" w:lastRowFirstColumn="0" w:lastRowLastColumn="0"/>
            <w:tcW w:w="1909" w:type="dxa"/>
            <w:vAlign w:val="center"/>
            <w:hideMark/>
          </w:tcPr>
          <w:p w14:paraId="2C135766" w14:textId="76D0F03E" w:rsidR="00622B8B" w:rsidRPr="00CD0C90" w:rsidRDefault="00622B8B" w:rsidP="00CD0C90">
            <w:pPr>
              <w:spacing w:line="276" w:lineRule="auto"/>
              <w:jc w:val="center"/>
              <w:textAlignment w:val="baseline"/>
              <w:rPr>
                <w:rFonts w:asciiTheme="majorHAnsi" w:eastAsia="Times New Roman" w:hAnsiTheme="majorHAnsi" w:cstheme="majorHAnsi"/>
              </w:rPr>
            </w:pPr>
            <w:r w:rsidRPr="00CD0C90">
              <w:rPr>
                <w:rFonts w:asciiTheme="majorHAnsi" w:hAnsiTheme="majorHAnsi" w:cstheme="majorHAnsi"/>
              </w:rPr>
              <w:t>Capacidad técnica legislativa</w:t>
            </w:r>
          </w:p>
        </w:tc>
        <w:tc>
          <w:tcPr>
            <w:tcW w:w="2103" w:type="dxa"/>
            <w:vAlign w:val="center"/>
            <w:hideMark/>
          </w:tcPr>
          <w:p w14:paraId="7D0CB8CC" w14:textId="5B774EF4" w:rsidR="00622B8B" w:rsidRPr="00CD0C90" w:rsidRDefault="00622B8B" w:rsidP="00CD0C90">
            <w:pPr>
              <w:spacing w:line="276"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rPr>
            </w:pPr>
            <w:r w:rsidRPr="00CD0C90">
              <w:rPr>
                <w:rFonts w:asciiTheme="majorHAnsi" w:hAnsiTheme="majorHAnsi" w:cstheme="majorHAnsi"/>
              </w:rPr>
              <w:t>UTL individuales, no especializadas</w:t>
            </w:r>
          </w:p>
        </w:tc>
        <w:tc>
          <w:tcPr>
            <w:tcW w:w="2608" w:type="dxa"/>
            <w:vAlign w:val="center"/>
            <w:hideMark/>
          </w:tcPr>
          <w:p w14:paraId="6C1A54A8" w14:textId="6DE228DF" w:rsidR="00622B8B" w:rsidRPr="00CD0C90" w:rsidRDefault="00622B8B" w:rsidP="00CD0C90">
            <w:pPr>
              <w:spacing w:line="276"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rPr>
            </w:pPr>
            <w:r w:rsidRPr="00CD0C90">
              <w:rPr>
                <w:rFonts w:asciiTheme="majorHAnsi" w:hAnsiTheme="majorHAnsi" w:cstheme="majorHAnsi"/>
              </w:rPr>
              <w:t>CONLE: cuerpo técnico permanente y especializado</w:t>
            </w:r>
          </w:p>
        </w:tc>
        <w:tc>
          <w:tcPr>
            <w:tcW w:w="1971" w:type="dxa"/>
            <w:vAlign w:val="center"/>
            <w:hideMark/>
          </w:tcPr>
          <w:p w14:paraId="492E9642" w14:textId="74607D23" w:rsidR="00622B8B" w:rsidRPr="00CD0C90" w:rsidRDefault="00622B8B" w:rsidP="00CD0C90">
            <w:pPr>
              <w:spacing w:line="276"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rPr>
            </w:pPr>
            <w:r w:rsidRPr="00CD0C90">
              <w:rPr>
                <w:rFonts w:asciiTheme="majorHAnsi" w:hAnsiTheme="majorHAnsi" w:cstheme="majorHAnsi"/>
              </w:rPr>
              <w:t>Brasil: menor asimetría de información</w:t>
            </w:r>
          </w:p>
        </w:tc>
      </w:tr>
      <w:tr w:rsidR="00622B8B" w:rsidRPr="00CD0C90" w14:paraId="58C72268" w14:textId="77777777" w:rsidTr="00FC408E">
        <w:trPr>
          <w:trHeight w:val="494"/>
        </w:trPr>
        <w:tc>
          <w:tcPr>
            <w:cnfStyle w:val="001000000000" w:firstRow="0" w:lastRow="0" w:firstColumn="1" w:lastColumn="0" w:oddVBand="0" w:evenVBand="0" w:oddHBand="0" w:evenHBand="0" w:firstRowFirstColumn="0" w:firstRowLastColumn="0" w:lastRowFirstColumn="0" w:lastRowLastColumn="0"/>
            <w:tcW w:w="1909" w:type="dxa"/>
            <w:vAlign w:val="center"/>
            <w:hideMark/>
          </w:tcPr>
          <w:p w14:paraId="1918F838" w14:textId="02D96DAD" w:rsidR="00622B8B" w:rsidRPr="00CD0C90" w:rsidRDefault="00622B8B" w:rsidP="00CD0C90">
            <w:pPr>
              <w:spacing w:line="276" w:lineRule="auto"/>
              <w:jc w:val="center"/>
              <w:textAlignment w:val="baseline"/>
              <w:rPr>
                <w:rFonts w:asciiTheme="majorHAnsi" w:eastAsia="Times New Roman" w:hAnsiTheme="majorHAnsi" w:cstheme="majorHAnsi"/>
              </w:rPr>
            </w:pPr>
            <w:r w:rsidRPr="00CD0C90">
              <w:rPr>
                <w:rFonts w:asciiTheme="majorHAnsi" w:hAnsiTheme="majorHAnsi" w:cstheme="majorHAnsi"/>
              </w:rPr>
              <w:t>Mecanismo de negociación de recursos</w:t>
            </w:r>
          </w:p>
        </w:tc>
        <w:tc>
          <w:tcPr>
            <w:tcW w:w="2103" w:type="dxa"/>
            <w:vAlign w:val="center"/>
            <w:hideMark/>
          </w:tcPr>
          <w:p w14:paraId="6DF732AA" w14:textId="46453707" w:rsidR="00622B8B" w:rsidRPr="00CD0C90" w:rsidRDefault="00622B8B"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rPr>
            </w:pPr>
            <w:r w:rsidRPr="00CD0C90">
              <w:rPr>
                <w:rFonts w:asciiTheme="majorHAnsi" w:hAnsiTheme="majorHAnsi" w:cstheme="majorHAnsi"/>
              </w:rPr>
              <w:t>Ad hoc, sujeto a relaciones personales</w:t>
            </w:r>
          </w:p>
        </w:tc>
        <w:tc>
          <w:tcPr>
            <w:tcW w:w="2608" w:type="dxa"/>
            <w:vAlign w:val="center"/>
            <w:hideMark/>
          </w:tcPr>
          <w:p w14:paraId="3F5F980C" w14:textId="502DA807" w:rsidR="00622B8B" w:rsidRPr="00CD0C90" w:rsidRDefault="00622B8B"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rPr>
            </w:pPr>
            <w:r w:rsidRPr="00CD0C90">
              <w:rPr>
                <w:rFonts w:asciiTheme="majorHAnsi" w:hAnsiTheme="majorHAnsi" w:cstheme="majorHAnsi"/>
              </w:rPr>
              <w:t>Institucionalizado (emendas parlamentares)</w:t>
            </w:r>
          </w:p>
        </w:tc>
        <w:tc>
          <w:tcPr>
            <w:tcW w:w="1971" w:type="dxa"/>
            <w:vAlign w:val="center"/>
            <w:hideMark/>
          </w:tcPr>
          <w:p w14:paraId="5158DA9A" w14:textId="031E1565" w:rsidR="00622B8B" w:rsidRPr="00CD0C90" w:rsidRDefault="00622B8B"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rPr>
            </w:pPr>
            <w:r w:rsidRPr="00CD0C90">
              <w:rPr>
                <w:rFonts w:asciiTheme="majorHAnsi" w:hAnsiTheme="majorHAnsi" w:cstheme="majorHAnsi"/>
              </w:rPr>
              <w:t>Brasil: disciplina de voto más predecible</w:t>
            </w:r>
          </w:p>
        </w:tc>
      </w:tr>
      <w:tr w:rsidR="00622B8B" w:rsidRPr="00CD0C90" w14:paraId="52A523D0" w14:textId="77777777" w:rsidTr="00FC408E">
        <w:trPr>
          <w:cnfStyle w:val="000000100000" w:firstRow="0" w:lastRow="0" w:firstColumn="0" w:lastColumn="0" w:oddVBand="0" w:evenVBand="0" w:oddHBand="1"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1909" w:type="dxa"/>
            <w:vAlign w:val="center"/>
            <w:hideMark/>
          </w:tcPr>
          <w:p w14:paraId="6A7FCF2A" w14:textId="682D9FA3" w:rsidR="00622B8B" w:rsidRPr="00CD0C90" w:rsidRDefault="00622B8B" w:rsidP="00CD0C90">
            <w:pPr>
              <w:spacing w:line="276" w:lineRule="auto"/>
              <w:jc w:val="center"/>
              <w:textAlignment w:val="baseline"/>
              <w:rPr>
                <w:rFonts w:asciiTheme="majorHAnsi" w:eastAsia="Times New Roman" w:hAnsiTheme="majorHAnsi" w:cstheme="majorHAnsi"/>
              </w:rPr>
            </w:pPr>
            <w:r w:rsidRPr="00CD0C90">
              <w:rPr>
                <w:rFonts w:asciiTheme="majorHAnsi" w:hAnsiTheme="majorHAnsi" w:cstheme="majorHAnsi"/>
              </w:rPr>
              <w:t>Espacio de construcción de consenso previo</w:t>
            </w:r>
          </w:p>
        </w:tc>
        <w:tc>
          <w:tcPr>
            <w:tcW w:w="2103" w:type="dxa"/>
            <w:vAlign w:val="center"/>
            <w:hideMark/>
          </w:tcPr>
          <w:p w14:paraId="443B60DD" w14:textId="1C302310" w:rsidR="00622B8B" w:rsidRPr="00CD0C90" w:rsidRDefault="00622B8B" w:rsidP="00CD0C90">
            <w:pPr>
              <w:spacing w:line="276"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rPr>
            </w:pPr>
            <w:r w:rsidRPr="00CD0C90">
              <w:rPr>
                <w:rFonts w:asciiTheme="majorHAnsi" w:hAnsiTheme="majorHAnsi" w:cstheme="majorHAnsi"/>
              </w:rPr>
              <w:t>Inexistente para energía</w:t>
            </w:r>
          </w:p>
        </w:tc>
        <w:tc>
          <w:tcPr>
            <w:tcW w:w="2608" w:type="dxa"/>
            <w:vAlign w:val="center"/>
            <w:hideMark/>
          </w:tcPr>
          <w:p w14:paraId="34FFD9A0" w14:textId="7587DD14" w:rsidR="00622B8B" w:rsidRPr="00CD0C90" w:rsidRDefault="00622B8B" w:rsidP="00CD0C90">
            <w:pPr>
              <w:spacing w:line="276"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rPr>
            </w:pPr>
            <w:r w:rsidRPr="00CD0C90">
              <w:rPr>
                <w:rFonts w:asciiTheme="majorHAnsi" w:hAnsiTheme="majorHAnsi" w:cstheme="majorHAnsi"/>
              </w:rPr>
              <w:t>FONTE (87 miembros tripartitos)</w:t>
            </w:r>
          </w:p>
        </w:tc>
        <w:tc>
          <w:tcPr>
            <w:tcW w:w="1971" w:type="dxa"/>
            <w:vAlign w:val="center"/>
            <w:hideMark/>
          </w:tcPr>
          <w:p w14:paraId="564C92B6" w14:textId="472E05E5" w:rsidR="00622B8B" w:rsidRPr="00CD0C90" w:rsidRDefault="00622B8B" w:rsidP="00CD0C90">
            <w:pPr>
              <w:spacing w:line="276"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rPr>
            </w:pPr>
            <w:r w:rsidRPr="00CD0C90">
              <w:rPr>
                <w:rFonts w:asciiTheme="majorHAnsi" w:hAnsiTheme="majorHAnsi" w:cstheme="majorHAnsi"/>
              </w:rPr>
              <w:t>Brasil: reduce probabilidad de archivo</w:t>
            </w:r>
          </w:p>
        </w:tc>
      </w:tr>
    </w:tbl>
    <w:p w14:paraId="245BB848" w14:textId="6A7F5A22" w:rsidR="00776899" w:rsidRPr="00CD0C90" w:rsidRDefault="00776899"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b/>
          <w:bCs/>
        </w:rPr>
        <w:t>Fuente:</w:t>
      </w:r>
      <w:r w:rsidRPr="00CD0C90">
        <w:rPr>
          <w:rFonts w:asciiTheme="majorHAnsi" w:hAnsiTheme="majorHAnsi" w:cstheme="majorHAnsi"/>
        </w:rPr>
        <w:t xml:space="preserve"> Elaboración propia</w:t>
      </w:r>
      <w:r w:rsidR="00622B8B" w:rsidRPr="00CD0C90">
        <w:rPr>
          <w:rFonts w:asciiTheme="majorHAnsi" w:hAnsiTheme="majorHAnsi" w:cstheme="majorHAnsi"/>
        </w:rPr>
        <w:t>. Basado en Tsebelis (2002), Figueiredo y Limongi (1999).</w:t>
      </w:r>
    </w:p>
    <w:p w14:paraId="24070B61" w14:textId="378B859E" w:rsidR="00643CB8" w:rsidRPr="00CD0C90" w:rsidRDefault="00622B8B"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rPr>
        <w:t>El caso brasileño muestra que la fragmentación partidaria</w:t>
      </w:r>
      <w:r w:rsidR="00412AC1" w:rsidRPr="00CD0C90">
        <w:rPr>
          <w:rFonts w:asciiTheme="majorHAnsi" w:hAnsiTheme="majorHAnsi" w:cstheme="majorHAnsi"/>
        </w:rPr>
        <w:t xml:space="preserve">, que es </w:t>
      </w:r>
      <w:r w:rsidRPr="00CD0C90">
        <w:rPr>
          <w:rFonts w:asciiTheme="majorHAnsi" w:hAnsiTheme="majorHAnsi" w:cstheme="majorHAnsi"/>
        </w:rPr>
        <w:t>igual o mayor a la colombiana en número de partidos con representación parlamentaria</w:t>
      </w:r>
      <w:r w:rsidR="00412AC1" w:rsidRPr="00CD0C90">
        <w:rPr>
          <w:rFonts w:asciiTheme="majorHAnsi" w:hAnsiTheme="majorHAnsi" w:cstheme="majorHAnsi"/>
        </w:rPr>
        <w:t>,</w:t>
      </w:r>
      <w:r w:rsidRPr="00CD0C90">
        <w:rPr>
          <w:rFonts w:asciiTheme="majorHAnsi" w:hAnsiTheme="majorHAnsi" w:cstheme="majorHAnsi"/>
        </w:rPr>
        <w:t xml:space="preserve"> no es</w:t>
      </w:r>
      <w:r w:rsidR="00412AC1" w:rsidRPr="00CD0C90">
        <w:rPr>
          <w:rFonts w:asciiTheme="majorHAnsi" w:hAnsiTheme="majorHAnsi" w:cstheme="majorHAnsi"/>
        </w:rPr>
        <w:t xml:space="preserve"> un</w:t>
      </w:r>
      <w:r w:rsidRPr="00CD0C90">
        <w:rPr>
          <w:rFonts w:asciiTheme="majorHAnsi" w:hAnsiTheme="majorHAnsi" w:cstheme="majorHAnsi"/>
        </w:rPr>
        <w:t>a variable que expli</w:t>
      </w:r>
      <w:r w:rsidR="00412AC1" w:rsidRPr="00CD0C90">
        <w:rPr>
          <w:rFonts w:asciiTheme="majorHAnsi" w:hAnsiTheme="majorHAnsi" w:cstheme="majorHAnsi"/>
        </w:rPr>
        <w:t>que</w:t>
      </w:r>
      <w:r w:rsidRPr="00CD0C90">
        <w:rPr>
          <w:rFonts w:asciiTheme="majorHAnsi" w:hAnsiTheme="majorHAnsi" w:cstheme="majorHAnsi"/>
        </w:rPr>
        <w:t xml:space="preserve"> la mayor estabilidad de la agenda energética. Lo que </w:t>
      </w:r>
      <w:r w:rsidR="00412AC1" w:rsidRPr="00CD0C90">
        <w:rPr>
          <w:rFonts w:asciiTheme="majorHAnsi" w:hAnsiTheme="majorHAnsi" w:cstheme="majorHAnsi"/>
        </w:rPr>
        <w:t>diferencia</w:t>
      </w:r>
      <w:r w:rsidRPr="00CD0C90">
        <w:rPr>
          <w:rFonts w:asciiTheme="majorHAnsi" w:hAnsiTheme="majorHAnsi" w:cstheme="majorHAnsi"/>
        </w:rPr>
        <w:t xml:space="preserve"> a Brasil es la combinación de un poder de agenda presidencial constitucionalmente robusto, un mecanismo institucionalizado y predecible de negociación de recursos, un espacio de construcción de consenso previo a la radicación (FONTE) y una capacidad técnico-legislativa especializada (CONLE) </w:t>
      </w:r>
      <w:r w:rsidR="00412AC1" w:rsidRPr="00CD0C90">
        <w:rPr>
          <w:rFonts w:asciiTheme="majorHAnsi" w:hAnsiTheme="majorHAnsi" w:cstheme="majorHAnsi"/>
        </w:rPr>
        <w:t>muy</w:t>
      </w:r>
      <w:r w:rsidRPr="00CD0C90">
        <w:rPr>
          <w:rFonts w:asciiTheme="majorHAnsi" w:hAnsiTheme="majorHAnsi" w:cstheme="majorHAnsi"/>
        </w:rPr>
        <w:t xml:space="preserve"> superior a la disponible en el Congreso colombiano. Estos cuatro elementos, </w:t>
      </w:r>
      <w:r w:rsidR="00412AC1" w:rsidRPr="00CD0C90">
        <w:rPr>
          <w:rFonts w:asciiTheme="majorHAnsi" w:hAnsiTheme="majorHAnsi" w:cstheme="majorHAnsi"/>
        </w:rPr>
        <w:t>actúan</w:t>
      </w:r>
      <w:r w:rsidRPr="00CD0C90">
        <w:rPr>
          <w:rFonts w:asciiTheme="majorHAnsi" w:hAnsiTheme="majorHAnsi" w:cstheme="majorHAnsi"/>
        </w:rPr>
        <w:t xml:space="preserve"> conjuntament</w:t>
      </w:r>
      <w:r w:rsidR="00412AC1" w:rsidRPr="00CD0C90">
        <w:rPr>
          <w:rFonts w:asciiTheme="majorHAnsi" w:hAnsiTheme="majorHAnsi" w:cstheme="majorHAnsi"/>
        </w:rPr>
        <w:t>e</w:t>
      </w:r>
      <w:r w:rsidRPr="00CD0C90">
        <w:rPr>
          <w:rFonts w:asciiTheme="majorHAnsi" w:hAnsiTheme="majorHAnsi" w:cstheme="majorHAnsi"/>
        </w:rPr>
        <w:t xml:space="preserve"> reduc</w:t>
      </w:r>
      <w:r w:rsidR="00412AC1" w:rsidRPr="00CD0C90">
        <w:rPr>
          <w:rFonts w:asciiTheme="majorHAnsi" w:hAnsiTheme="majorHAnsi" w:cstheme="majorHAnsi"/>
        </w:rPr>
        <w:t>iendo</w:t>
      </w:r>
      <w:r w:rsidRPr="00CD0C90">
        <w:rPr>
          <w:rFonts w:asciiTheme="majorHAnsi" w:hAnsiTheme="majorHAnsi" w:cstheme="majorHAnsi"/>
        </w:rPr>
        <w:t xml:space="preserve"> los costos de transacción de la negociación </w:t>
      </w:r>
      <w:r w:rsidR="001D4B0A" w:rsidRPr="00CD0C90">
        <w:rPr>
          <w:rFonts w:asciiTheme="majorHAnsi" w:hAnsiTheme="majorHAnsi" w:cstheme="majorHAnsi"/>
        </w:rPr>
        <w:t>ejecutivo</w:t>
      </w:r>
      <w:r w:rsidRPr="00CD0C90">
        <w:rPr>
          <w:rFonts w:asciiTheme="majorHAnsi" w:hAnsiTheme="majorHAnsi" w:cstheme="majorHAnsi"/>
        </w:rPr>
        <w:t>-</w:t>
      </w:r>
      <w:r w:rsidR="001D4B0A" w:rsidRPr="00CD0C90">
        <w:rPr>
          <w:rFonts w:asciiTheme="majorHAnsi" w:hAnsiTheme="majorHAnsi" w:cstheme="majorHAnsi"/>
        </w:rPr>
        <w:t>legislativo</w:t>
      </w:r>
      <w:r w:rsidRPr="00CD0C90">
        <w:rPr>
          <w:rFonts w:asciiTheme="majorHAnsi" w:hAnsiTheme="majorHAnsi" w:cstheme="majorHAnsi"/>
        </w:rPr>
        <w:t xml:space="preserve"> (Williamson, 1985) y explican</w:t>
      </w:r>
      <w:r w:rsidR="00412AC1" w:rsidRPr="00CD0C90">
        <w:rPr>
          <w:rFonts w:asciiTheme="majorHAnsi" w:hAnsiTheme="majorHAnsi" w:cstheme="majorHAnsi"/>
        </w:rPr>
        <w:t xml:space="preserve"> </w:t>
      </w:r>
      <w:r w:rsidRPr="00CD0C90">
        <w:rPr>
          <w:rFonts w:asciiTheme="majorHAnsi" w:hAnsiTheme="majorHAnsi" w:cstheme="majorHAnsi"/>
        </w:rPr>
        <w:t>por qué Brasil ha logrado traducir su planificación energética estratégica</w:t>
      </w:r>
      <w:r w:rsidR="00412AC1" w:rsidRPr="00CD0C90">
        <w:rPr>
          <w:rFonts w:asciiTheme="majorHAnsi" w:hAnsiTheme="majorHAnsi" w:cstheme="majorHAnsi"/>
        </w:rPr>
        <w:t xml:space="preserve">, plasmada </w:t>
      </w:r>
      <w:r w:rsidRPr="00CD0C90">
        <w:rPr>
          <w:rFonts w:asciiTheme="majorHAnsi" w:hAnsiTheme="majorHAnsi" w:cstheme="majorHAnsi"/>
        </w:rPr>
        <w:t>en instrumentos como la Política Nacional de Transição Energética, articulada por el CNPE y el FONTE</w:t>
      </w:r>
      <w:r w:rsidR="00412AC1" w:rsidRPr="00CD0C90">
        <w:rPr>
          <w:rFonts w:asciiTheme="majorHAnsi" w:hAnsiTheme="majorHAnsi" w:cstheme="majorHAnsi"/>
        </w:rPr>
        <w:t>,</w:t>
      </w:r>
      <w:r w:rsidRPr="00CD0C90">
        <w:rPr>
          <w:rFonts w:asciiTheme="majorHAnsi" w:hAnsiTheme="majorHAnsi" w:cstheme="majorHAnsi"/>
        </w:rPr>
        <w:t xml:space="preserve"> en producción legislativa efectiva. </w:t>
      </w:r>
      <w:bookmarkEnd w:id="32"/>
    </w:p>
    <w:p w14:paraId="31D91DFC" w14:textId="5953ECFB" w:rsidR="00FF7AC3" w:rsidRPr="00CD0C90" w:rsidRDefault="004724DF" w:rsidP="00CD0C90">
      <w:pPr>
        <w:pStyle w:val="Ttulo3"/>
        <w:spacing w:line="276" w:lineRule="auto"/>
        <w:rPr>
          <w:rFonts w:asciiTheme="majorHAnsi" w:hAnsiTheme="majorHAnsi" w:cstheme="majorHAnsi"/>
          <w:sz w:val="22"/>
          <w:szCs w:val="22"/>
        </w:rPr>
      </w:pPr>
      <w:bookmarkStart w:id="39" w:name="_Toc234920367"/>
      <w:r w:rsidRPr="00CD0C90">
        <w:rPr>
          <w:rFonts w:asciiTheme="majorHAnsi" w:hAnsiTheme="majorHAnsi" w:cstheme="majorHAnsi"/>
          <w:sz w:val="22"/>
          <w:szCs w:val="22"/>
        </w:rPr>
        <w:t>2</w:t>
      </w:r>
      <w:r w:rsidR="00222BBC" w:rsidRPr="00CD0C90">
        <w:rPr>
          <w:rFonts w:asciiTheme="majorHAnsi" w:hAnsiTheme="majorHAnsi" w:cstheme="majorHAnsi"/>
          <w:sz w:val="22"/>
          <w:szCs w:val="22"/>
        </w:rPr>
        <w:t>.</w:t>
      </w:r>
      <w:r w:rsidR="00CD0C90" w:rsidRPr="00CD0C90">
        <w:rPr>
          <w:rFonts w:asciiTheme="majorHAnsi" w:hAnsiTheme="majorHAnsi" w:cstheme="majorHAnsi"/>
          <w:sz w:val="22"/>
          <w:szCs w:val="22"/>
        </w:rPr>
        <w:t>1.</w:t>
      </w:r>
      <w:r w:rsidR="00FF7AC3" w:rsidRPr="00CD0C90">
        <w:rPr>
          <w:rFonts w:asciiTheme="majorHAnsi" w:hAnsiTheme="majorHAnsi" w:cstheme="majorHAnsi"/>
          <w:sz w:val="22"/>
          <w:szCs w:val="22"/>
        </w:rPr>
        <w:t>2 Chile: Coordinación institucionalizada y transparencia del relacionamiento legislativo</w:t>
      </w:r>
      <w:bookmarkEnd w:id="39"/>
    </w:p>
    <w:p w14:paraId="71C65637" w14:textId="7072863B" w:rsidR="00622B8B" w:rsidRPr="00CD0C90" w:rsidRDefault="00622B8B"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 xml:space="preserve">Chile es una república presidencial unitaria y, desde 2015, </w:t>
      </w:r>
      <w:r w:rsidR="00B53DF2" w:rsidRPr="00CD0C90">
        <w:rPr>
          <w:rFonts w:asciiTheme="majorHAnsi" w:hAnsiTheme="majorHAnsi" w:cstheme="majorHAnsi"/>
        </w:rPr>
        <w:t>mayoritariamente</w:t>
      </w:r>
      <w:r w:rsidRPr="00CD0C90">
        <w:rPr>
          <w:rFonts w:asciiTheme="majorHAnsi" w:hAnsiTheme="majorHAnsi" w:cstheme="majorHAnsi"/>
        </w:rPr>
        <w:t xml:space="preserve"> multipartidista. La Ley N</w:t>
      </w:r>
      <w:r w:rsidR="00B53DF2" w:rsidRPr="00CD0C90">
        <w:rPr>
          <w:rFonts w:asciiTheme="majorHAnsi" w:hAnsiTheme="majorHAnsi" w:cstheme="majorHAnsi"/>
        </w:rPr>
        <w:t>o.</w:t>
      </w:r>
      <w:r w:rsidRPr="00CD0C90">
        <w:rPr>
          <w:rFonts w:asciiTheme="majorHAnsi" w:hAnsiTheme="majorHAnsi" w:cstheme="majorHAnsi"/>
        </w:rPr>
        <w:t xml:space="preserve"> 20.840</w:t>
      </w:r>
      <w:r w:rsidR="00B53DF2" w:rsidRPr="00CD0C90">
        <w:rPr>
          <w:rFonts w:asciiTheme="majorHAnsi" w:hAnsiTheme="majorHAnsi" w:cstheme="majorHAnsi"/>
        </w:rPr>
        <w:t xml:space="preserve"> </w:t>
      </w:r>
      <w:r w:rsidRPr="00CD0C90">
        <w:rPr>
          <w:rFonts w:asciiTheme="majorHAnsi" w:hAnsiTheme="majorHAnsi" w:cstheme="majorHAnsi"/>
        </w:rPr>
        <w:t xml:space="preserve">de 2015 sustituyó el sistema electoral binominal por un sistema proporcional inclusivo bajo el método D'Hondt, que amplió la Cámara de Diputados de 120 a 155 escaños y el Senado de 38 a 50, </w:t>
      </w:r>
      <w:r w:rsidR="00B53DF2" w:rsidRPr="00CD0C90">
        <w:rPr>
          <w:rFonts w:asciiTheme="majorHAnsi" w:hAnsiTheme="majorHAnsi" w:cstheme="majorHAnsi"/>
        </w:rPr>
        <w:t>y también</w:t>
      </w:r>
      <w:r w:rsidRPr="00CD0C90">
        <w:rPr>
          <w:rFonts w:asciiTheme="majorHAnsi" w:hAnsiTheme="majorHAnsi" w:cstheme="majorHAnsi"/>
        </w:rPr>
        <w:t xml:space="preserve"> redujo el número de distritos electorales de 60 a 28. </w:t>
      </w:r>
    </w:p>
    <w:p w14:paraId="60E66002" w14:textId="6CF2A927" w:rsidR="00622B8B" w:rsidRPr="00CD0C90" w:rsidRDefault="00622B8B"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lastRenderedPageBreak/>
        <w:t>El Ministerio de Energía se constituyó como</w:t>
      </w:r>
      <w:r w:rsidR="00B53DF2" w:rsidRPr="00CD0C90">
        <w:rPr>
          <w:rFonts w:asciiTheme="majorHAnsi" w:hAnsiTheme="majorHAnsi" w:cstheme="majorHAnsi"/>
        </w:rPr>
        <w:t xml:space="preserve"> una</w:t>
      </w:r>
      <w:r w:rsidRPr="00CD0C90">
        <w:rPr>
          <w:rFonts w:asciiTheme="majorHAnsi" w:hAnsiTheme="majorHAnsi" w:cstheme="majorHAnsi"/>
        </w:rPr>
        <w:t xml:space="preserve"> cartera independiente el 1 de febrero de 2010, mediante la Ley N</w:t>
      </w:r>
      <w:r w:rsidR="00B53DF2" w:rsidRPr="00CD0C90">
        <w:rPr>
          <w:rFonts w:asciiTheme="majorHAnsi" w:hAnsiTheme="majorHAnsi" w:cstheme="majorHAnsi"/>
        </w:rPr>
        <w:t>o.</w:t>
      </w:r>
      <w:r w:rsidRPr="00CD0C90">
        <w:rPr>
          <w:rFonts w:asciiTheme="majorHAnsi" w:hAnsiTheme="majorHAnsi" w:cstheme="majorHAnsi"/>
        </w:rPr>
        <w:t xml:space="preserve"> 20.402, separándose del Ministerio de Minería</w:t>
      </w:r>
      <w:r w:rsidR="00B53DF2" w:rsidRPr="00CD0C90">
        <w:rPr>
          <w:rFonts w:asciiTheme="majorHAnsi" w:hAnsiTheme="majorHAnsi" w:cstheme="majorHAnsi"/>
        </w:rPr>
        <w:t xml:space="preserve">, con </w:t>
      </w:r>
      <w:r w:rsidRPr="00CD0C90">
        <w:rPr>
          <w:rFonts w:asciiTheme="majorHAnsi" w:hAnsiTheme="majorHAnsi" w:cstheme="majorHAnsi"/>
        </w:rPr>
        <w:t xml:space="preserve">atribuciones </w:t>
      </w:r>
      <w:r w:rsidR="00B53DF2" w:rsidRPr="00CD0C90">
        <w:rPr>
          <w:rFonts w:asciiTheme="majorHAnsi" w:hAnsiTheme="majorHAnsi" w:cstheme="majorHAnsi"/>
        </w:rPr>
        <w:t>en el</w:t>
      </w:r>
      <w:r w:rsidRPr="00CD0C90">
        <w:rPr>
          <w:rFonts w:asciiTheme="majorHAnsi" w:hAnsiTheme="majorHAnsi" w:cstheme="majorHAnsi"/>
        </w:rPr>
        <w:t xml:space="preserve"> diseño y coordinación de política, planes y normas energéticas </w:t>
      </w:r>
      <w:r w:rsidR="00B53DF2" w:rsidRPr="00CD0C90">
        <w:rPr>
          <w:rFonts w:asciiTheme="majorHAnsi" w:hAnsiTheme="majorHAnsi" w:cstheme="majorHAnsi"/>
        </w:rPr>
        <w:t>plasmadas</w:t>
      </w:r>
      <w:r w:rsidRPr="00CD0C90">
        <w:rPr>
          <w:rFonts w:asciiTheme="majorHAnsi" w:hAnsiTheme="majorHAnsi" w:cstheme="majorHAnsi"/>
        </w:rPr>
        <w:t xml:space="preserve"> el Decreto Ley N</w:t>
      </w:r>
      <w:r w:rsidR="00B53DF2" w:rsidRPr="00CD0C90">
        <w:rPr>
          <w:rFonts w:asciiTheme="majorHAnsi" w:hAnsiTheme="majorHAnsi" w:cstheme="majorHAnsi"/>
        </w:rPr>
        <w:t>o</w:t>
      </w:r>
      <w:r w:rsidRPr="00CD0C90">
        <w:rPr>
          <w:rFonts w:asciiTheme="majorHAnsi" w:hAnsiTheme="majorHAnsi" w:cstheme="majorHAnsi"/>
        </w:rPr>
        <w:t xml:space="preserve">. 2.224. En el Congreso, </w:t>
      </w:r>
      <w:r w:rsidR="00B53DF2" w:rsidRPr="00CD0C90">
        <w:rPr>
          <w:rFonts w:asciiTheme="majorHAnsi" w:hAnsiTheme="majorHAnsi" w:cstheme="majorHAnsi"/>
        </w:rPr>
        <w:t xml:space="preserve">el trámite </w:t>
      </w:r>
      <w:r w:rsidRPr="00CD0C90">
        <w:rPr>
          <w:rFonts w:asciiTheme="majorHAnsi" w:hAnsiTheme="majorHAnsi" w:cstheme="majorHAnsi"/>
        </w:rPr>
        <w:t>de los proyectos energéticos recae en dos comisiones permanentes especializadas: la Comisión de Minería y Energía del Senado, integrada por cinco senadores, y la Comisión de Minería y Energía de la Cámara de Diputados, integrada por trece diputados.</w:t>
      </w:r>
    </w:p>
    <w:p w14:paraId="34502A31" w14:textId="788BA000" w:rsidR="00687E40" w:rsidRPr="00CD0C90" w:rsidRDefault="00687E40"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Chile cuenta con una institución técnica legislativa consolidada denominada la Biblioteca del Congreso Nacional (BCN), un servicio común del Senado y la Cámara de Diputados creado en 1883, cuya oficina de Asesoría Técnica Parlamentaria (ATP), creada en 2007, constituye el equivalente funcional más cercano a la CONLE brasileña, aunque de diseño distinto: mientras la CONLE opera exclusivamente al servicio de la Cámara de Diputados de Brasil, la ATP presta servicio simultáneo a ambas cámaras chilenas. El tamaño de su equipo varía, pero producción anual es considerable: en 2022 generó 1.881 productos de asesoría, el 89,7% de ellos por demanda directa de parlamentarios, y en 2024 superó los 1.100 servicios anuales, entre análisis escritos, investigaciones y presentaciones ante comisiones (</w:t>
      </w:r>
      <w:bookmarkStart w:id="40" w:name="_Hlk234689294"/>
      <w:r w:rsidRPr="00CD0C90">
        <w:rPr>
          <w:rFonts w:asciiTheme="majorHAnsi" w:hAnsiTheme="majorHAnsi" w:cstheme="majorHAnsi"/>
        </w:rPr>
        <w:t>BCN, 2024</w:t>
      </w:r>
      <w:bookmarkEnd w:id="40"/>
      <w:r w:rsidRPr="00CD0C90">
        <w:rPr>
          <w:rFonts w:asciiTheme="majorHAnsi" w:hAnsiTheme="majorHAnsi" w:cstheme="majorHAnsi"/>
        </w:rPr>
        <w:t>). Esta capacidad instalada dota a los parlamentarios chilenos de un insumo técnico propio, independiente de la información suministrada por el ejecutivo, condición que el Congreso colombiano no posee en materia energética.</w:t>
      </w:r>
    </w:p>
    <w:p w14:paraId="78A84219" w14:textId="742743BF" w:rsidR="00687E40" w:rsidRPr="00CD0C90" w:rsidRDefault="00B53DF2"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 xml:space="preserve">A nivel </w:t>
      </w:r>
      <w:r w:rsidR="00622B8B" w:rsidRPr="00CD0C90">
        <w:rPr>
          <w:rFonts w:asciiTheme="majorHAnsi" w:hAnsiTheme="majorHAnsi" w:cstheme="majorHAnsi"/>
        </w:rPr>
        <w:t>normativ</w:t>
      </w:r>
      <w:r w:rsidRPr="00CD0C90">
        <w:rPr>
          <w:rFonts w:asciiTheme="majorHAnsi" w:hAnsiTheme="majorHAnsi" w:cstheme="majorHAnsi"/>
        </w:rPr>
        <w:t>o</w:t>
      </w:r>
      <w:r w:rsidR="00622B8B" w:rsidRPr="00CD0C90">
        <w:rPr>
          <w:rFonts w:asciiTheme="majorHAnsi" w:hAnsiTheme="majorHAnsi" w:cstheme="majorHAnsi"/>
        </w:rPr>
        <w:t xml:space="preserve">, </w:t>
      </w:r>
      <w:r w:rsidR="00687E40" w:rsidRPr="00CD0C90">
        <w:rPr>
          <w:rFonts w:asciiTheme="majorHAnsi" w:hAnsiTheme="majorHAnsi" w:cstheme="majorHAnsi"/>
        </w:rPr>
        <w:t>Chile ha construido entre 2021 y 2025 un cuerpo legislativo sistemático y coherente en materia de transición energética: la Ley 21.305 de Eficiencia Energética (2021), la Ley 21.455 de Marco de Cambio Climático (2022), la Ley 21.505 de almacenamiento y electromovilidad (2022), la Ley 21.472 de tarifas eléctricas, la Ley 21.667 de protección tarifaria (2024) y la Ley 21.118 de generación distribuida.  Este conjunto de normatividad incluye desde la eficiencia energética hasta la descarbonización, pasando por el almacenamiento, la generación distribuida y la protección de los hogares vulnerables frente al incremento de las tarifas, cuatro pilares que forman un sistema coherente de política energética de transición.</w:t>
      </w:r>
    </w:p>
    <w:p w14:paraId="69FCBB15" w14:textId="49C6B692" w:rsidR="00687E40" w:rsidRPr="00CD0C90" w:rsidRDefault="00687E40"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El Plan de Descarbonización (octubre 2025), que contempla el retiro de las 28 centrales de carbón, 9 de las cuales ya fueron cerradas entre 2019 y 2023, y la Política Energética Nacional 2050 "Energía 2050", con 18 objetivos de largo plazo (80% energía renovable para 2030; 100% generación cero emisiones para 2050; carbono neutralidad en 2050), proporcionan un marco de largo plazo que integra y orienta toda la producción legislativa sectorial. El Plan Sectorial de Mitigación y Adaptación al Cambio Climático de Energía (DS 91/2024) es otra expresión de ese anclaje sistemático de la política energética en instrumentos normativos formales.</w:t>
      </w:r>
    </w:p>
    <w:p w14:paraId="1FA1F42A" w14:textId="392C0CEC" w:rsidR="00687E40" w:rsidRPr="00CD0C90" w:rsidRDefault="00687E40"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 xml:space="preserve">Colombia, en el mismo período, ha presentado una producción legislativa energética incipiente y fragmentada. La Ley 2273/2022 de ratificación del Acuerdo de Escazú y el avance del Proyecto de Ley de Hidrógeno hasta el segundo debate en Cámara plenaria (ANDI, junio 2025) son logros reales, que demuestran que es posible construir acuerdos legislativos en materia energética. Sin embargo, el proyecto central de la agenda de transición energética justa del gobierno Petro, es decir, el PL 134-2024 del Senado, </w:t>
      </w:r>
      <w:r w:rsidRPr="00CD0C90">
        <w:rPr>
          <w:rFonts w:asciiTheme="majorHAnsi" w:hAnsiTheme="majorHAnsi" w:cstheme="majorHAnsi"/>
        </w:rPr>
        <w:lastRenderedPageBreak/>
        <w:t>permanece en trámite en la Comisión Quinta, sin lograr una consolidación legislativa que requiere la aceleración de la TEJ. El Diagnóstico Base del MME (2024), con sus cuatro pilares de equidad, soberanía, justicia territorial y reindustrialización, presenta un marco analítico robusto, pero sin el anclaje legislativo que le conferiría continuidad inter-gubernamental.</w:t>
      </w:r>
    </w:p>
    <w:p w14:paraId="31A95FA3" w14:textId="7C11C808" w:rsidR="00687E40" w:rsidRPr="00CD0C90" w:rsidRDefault="00687E40"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La diferencia no es solo de voluntad política ni de capacidad técnica del sector energético en sí mismo: es de arquitectura institucional de coordinación legislativa. Chile tiene en la SEGPRES-DIREPOL y la BCN-ATP los instrumentos que permiten sostener la negociación legislativa incluso en condiciones de Congreso fragmentado, como lo demuestran las leyes aprobadas durante el gobierno de Boric sin mayoría parlamentaria. Colombia enfrenta condiciones políticas igualmente difíciles, como un Congreso fragmentado, una coalición débil, y alta rotación ministerial, pero sin los instrumentos institucionales que permiten navegar esa dificultad con efectividad legislativa sostenida.</w:t>
      </w:r>
    </w:p>
    <w:p w14:paraId="624925A7" w14:textId="77777777" w:rsidR="00687E40" w:rsidRPr="00CD0C90" w:rsidRDefault="00622B8B"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 xml:space="preserve">La dinámica de aprobación legislativa en Chile </w:t>
      </w:r>
      <w:r w:rsidR="00687E40" w:rsidRPr="00CD0C90">
        <w:rPr>
          <w:rFonts w:asciiTheme="majorHAnsi" w:hAnsiTheme="majorHAnsi" w:cstheme="majorHAnsi"/>
        </w:rPr>
        <w:t>reafirma</w:t>
      </w:r>
      <w:r w:rsidRPr="00CD0C90">
        <w:rPr>
          <w:rFonts w:asciiTheme="majorHAnsi" w:hAnsiTheme="majorHAnsi" w:cstheme="majorHAnsi"/>
        </w:rPr>
        <w:t xml:space="preserve"> el papel dominante del </w:t>
      </w:r>
      <w:r w:rsidR="001D4B0A" w:rsidRPr="00CD0C90">
        <w:rPr>
          <w:rFonts w:asciiTheme="majorHAnsi" w:hAnsiTheme="majorHAnsi" w:cstheme="majorHAnsi"/>
        </w:rPr>
        <w:t>ejecutivo</w:t>
      </w:r>
      <w:r w:rsidRPr="00CD0C90">
        <w:rPr>
          <w:rFonts w:asciiTheme="majorHAnsi" w:hAnsiTheme="majorHAnsi" w:cstheme="majorHAnsi"/>
        </w:rPr>
        <w:t xml:space="preserve"> en la fijación de la agenda, aunque con variaciones significativas por gobierno: las tasas de éxito legislativo presidencial oscilaron entre 46,3% y 68,7% durante los gobiernos de Piñera, entre 58,8% y 80,8% durante el segundo gobierno de Bachelet, y entre 48,4% y 48,5% durante la administración de Gabriel Boric </w:t>
      </w:r>
      <w:r w:rsidR="00687E40" w:rsidRPr="00CD0C90">
        <w:rPr>
          <w:rFonts w:asciiTheme="majorHAnsi" w:hAnsiTheme="majorHAnsi" w:cstheme="majorHAnsi"/>
        </w:rPr>
        <w:t>hasta</w:t>
      </w:r>
      <w:r w:rsidRPr="00CD0C90">
        <w:rPr>
          <w:rFonts w:asciiTheme="majorHAnsi" w:hAnsiTheme="majorHAnsi" w:cstheme="majorHAnsi"/>
        </w:rPr>
        <w:t xml:space="preserve"> </w:t>
      </w:r>
      <w:r w:rsidR="00687E40" w:rsidRPr="00CD0C90">
        <w:rPr>
          <w:rFonts w:asciiTheme="majorHAnsi" w:hAnsiTheme="majorHAnsi" w:cstheme="majorHAnsi"/>
        </w:rPr>
        <w:t>el</w:t>
      </w:r>
      <w:r w:rsidRPr="00CD0C90">
        <w:rPr>
          <w:rFonts w:asciiTheme="majorHAnsi" w:hAnsiTheme="majorHAnsi" w:cstheme="majorHAnsi"/>
        </w:rPr>
        <w:t xml:space="preserve"> 2025 (</w:t>
      </w:r>
      <w:bookmarkStart w:id="41" w:name="_Hlk234689441"/>
      <w:r w:rsidRPr="00CD0C90">
        <w:rPr>
          <w:rFonts w:asciiTheme="majorHAnsi" w:hAnsiTheme="majorHAnsi" w:cstheme="majorHAnsi"/>
        </w:rPr>
        <w:t>Nexos,</w:t>
      </w:r>
      <w:bookmarkEnd w:id="41"/>
      <w:r w:rsidR="00687E40" w:rsidRPr="00CD0C90">
        <w:rPr>
          <w:rFonts w:asciiTheme="majorHAnsi" w:hAnsiTheme="majorHAnsi" w:cstheme="majorHAnsi"/>
        </w:rPr>
        <w:t xml:space="preserve"> 2025</w:t>
      </w:r>
      <w:r w:rsidRPr="00CD0C90">
        <w:rPr>
          <w:rFonts w:asciiTheme="majorHAnsi" w:hAnsiTheme="majorHAnsi" w:cstheme="majorHAnsi"/>
        </w:rPr>
        <w:t>). Los tiempos de tramitación también varían de manera notable: 194 días en promedio bajo Boric, frente a 427 días durante el segundo gobierno de Piñera (</w:t>
      </w:r>
      <w:bookmarkStart w:id="42" w:name="_Hlk234689464"/>
      <w:r w:rsidRPr="00CD0C90">
        <w:rPr>
          <w:rFonts w:asciiTheme="majorHAnsi" w:hAnsiTheme="majorHAnsi" w:cstheme="majorHAnsi"/>
        </w:rPr>
        <w:t xml:space="preserve">El Dínamo, </w:t>
      </w:r>
      <w:bookmarkEnd w:id="42"/>
      <w:r w:rsidR="00687E40" w:rsidRPr="00CD0C90">
        <w:rPr>
          <w:rFonts w:asciiTheme="majorHAnsi" w:hAnsiTheme="majorHAnsi" w:cstheme="majorHAnsi"/>
        </w:rPr>
        <w:t>2025</w:t>
      </w:r>
      <w:r w:rsidRPr="00CD0C90">
        <w:rPr>
          <w:rFonts w:asciiTheme="majorHAnsi" w:hAnsiTheme="majorHAnsi" w:cstheme="majorHAnsi"/>
        </w:rPr>
        <w:t>). De un universo de más de 13.400 proyectos ingresados entre 2006 y 2025, solo 7,1% de las mociones parlamentarias en la Cámara y 10% en el Senado llegaron a convertirse en ley, mientras que las iniciativas de origen ejecutivo no solo registran mayor probabilidad de aprobación, sino tiempos de tramitación sensiblemente más cortos: las mociones parlamentarias demoran, en promedio, el doble (</w:t>
      </w:r>
      <w:bookmarkStart w:id="43" w:name="_Hlk234689486"/>
      <w:r w:rsidRPr="00CD0C90">
        <w:rPr>
          <w:rFonts w:asciiTheme="majorHAnsi" w:hAnsiTheme="majorHAnsi" w:cstheme="majorHAnsi"/>
        </w:rPr>
        <w:t>Alemán &amp; Navia, 2009</w:t>
      </w:r>
      <w:bookmarkEnd w:id="43"/>
      <w:r w:rsidRPr="00CD0C90">
        <w:rPr>
          <w:rFonts w:asciiTheme="majorHAnsi" w:hAnsiTheme="majorHAnsi" w:cstheme="majorHAnsi"/>
        </w:rPr>
        <w:t>).</w:t>
      </w:r>
    </w:p>
    <w:p w14:paraId="44E6A308" w14:textId="2AC5EAEB" w:rsidR="00622B8B" w:rsidRPr="00CD0C90" w:rsidRDefault="00622B8B"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 xml:space="preserve">En materia de veto presidencial, </w:t>
      </w:r>
      <w:bookmarkStart w:id="44" w:name="_Hlk234689503"/>
      <w:r w:rsidRPr="00CD0C90">
        <w:rPr>
          <w:rFonts w:asciiTheme="majorHAnsi" w:hAnsiTheme="majorHAnsi" w:cstheme="majorHAnsi"/>
        </w:rPr>
        <w:t>Belmar Soto, Navia y Osorio (2023</w:t>
      </w:r>
      <w:bookmarkEnd w:id="44"/>
      <w:r w:rsidRPr="00CD0C90">
        <w:rPr>
          <w:rFonts w:asciiTheme="majorHAnsi" w:hAnsiTheme="majorHAnsi" w:cstheme="majorHAnsi"/>
        </w:rPr>
        <w:t>) identificaron 97 vetos parciales</w:t>
      </w:r>
      <w:r w:rsidR="005C3570" w:rsidRPr="00CD0C90">
        <w:rPr>
          <w:rFonts w:asciiTheme="majorHAnsi" w:hAnsiTheme="majorHAnsi" w:cstheme="majorHAnsi"/>
        </w:rPr>
        <w:t xml:space="preserve">, equivalente al </w:t>
      </w:r>
      <w:r w:rsidRPr="00CD0C90">
        <w:rPr>
          <w:rFonts w:asciiTheme="majorHAnsi" w:hAnsiTheme="majorHAnsi" w:cstheme="majorHAnsi"/>
        </w:rPr>
        <w:t>4,2% del total de leyes</w:t>
      </w:r>
      <w:r w:rsidR="005C3570" w:rsidRPr="00CD0C90">
        <w:rPr>
          <w:rFonts w:asciiTheme="majorHAnsi" w:hAnsiTheme="majorHAnsi" w:cstheme="majorHAnsi"/>
        </w:rPr>
        <w:t>,</w:t>
      </w:r>
      <w:r w:rsidRPr="00CD0C90">
        <w:rPr>
          <w:rFonts w:asciiTheme="majorHAnsi" w:hAnsiTheme="majorHAnsi" w:cstheme="majorHAnsi"/>
        </w:rPr>
        <w:t xml:space="preserve"> y un único veto total entre 1990 y 2018, </w:t>
      </w:r>
      <w:r w:rsidR="005C3570" w:rsidRPr="00CD0C90">
        <w:rPr>
          <w:rFonts w:asciiTheme="majorHAnsi" w:hAnsiTheme="majorHAnsi" w:cstheme="majorHAnsi"/>
        </w:rPr>
        <w:t>lo que  muestra que</w:t>
      </w:r>
      <w:r w:rsidRPr="00CD0C90">
        <w:rPr>
          <w:rFonts w:asciiTheme="majorHAnsi" w:hAnsiTheme="majorHAnsi" w:cstheme="majorHAnsi"/>
        </w:rPr>
        <w:t xml:space="preserve"> el veto parcial funciona como un paso adicional de negociación entre poderes y no como manifestación de hiperpresidencialismo. En el ámbito energético, la Ley 21.505 se tramitó en menos de un año, mientras que la Ley 21.455 demandó más de dos años, diferencia que refleja distintos grados de consenso político previo y de complejidad técnica del articulado, más que una regla general de velocidad.</w:t>
      </w:r>
    </w:p>
    <w:p w14:paraId="5F093F3F" w14:textId="51CFD7EB" w:rsidR="00622B8B" w:rsidRPr="00CD0C90" w:rsidRDefault="00622B8B"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En los indicadores comparados de transición energética, el Energy Transition Index del Foro Económico Mundial ubicó a Chile en el puesto 21 de 118 países en su edición de 2025, con un puntaje de 65,7 (World Economic Forum,</w:t>
      </w:r>
      <w:r w:rsidR="005C3570" w:rsidRPr="00CD0C90">
        <w:rPr>
          <w:rFonts w:asciiTheme="majorHAnsi" w:hAnsiTheme="majorHAnsi" w:cstheme="majorHAnsi"/>
        </w:rPr>
        <w:t xml:space="preserve"> 2025</w:t>
      </w:r>
      <w:r w:rsidRPr="00CD0C90">
        <w:rPr>
          <w:rFonts w:asciiTheme="majorHAnsi" w:hAnsiTheme="majorHAnsi" w:cstheme="majorHAnsi"/>
        </w:rPr>
        <w:t xml:space="preserve">), y en 2024 el Foro destacó a Chile entre los veinte países mejor posicionados del mundo, señalando que el 35% de su generación provenía de fuentes solares y eólicas, con una meta declarada de 70% de participación renovable y neutralidad de carbono al 2050. </w:t>
      </w:r>
    </w:p>
    <w:p w14:paraId="4EC1D417" w14:textId="2602DDEB" w:rsidR="005C3570" w:rsidRPr="00CD0C90" w:rsidRDefault="00622B8B"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 xml:space="preserve">Desde el punto de vista teórico, </w:t>
      </w:r>
      <w:bookmarkStart w:id="45" w:name="_Hlk234689655"/>
      <w:r w:rsidRPr="00CD0C90">
        <w:rPr>
          <w:rFonts w:asciiTheme="majorHAnsi" w:hAnsiTheme="majorHAnsi" w:cstheme="majorHAnsi"/>
        </w:rPr>
        <w:t xml:space="preserve">Aninat, Londregan, Navia y Vial (2006) </w:t>
      </w:r>
      <w:bookmarkEnd w:id="45"/>
      <w:r w:rsidR="005C3570" w:rsidRPr="00CD0C90">
        <w:rPr>
          <w:rFonts w:asciiTheme="majorHAnsi" w:hAnsiTheme="majorHAnsi" w:cstheme="majorHAnsi"/>
        </w:rPr>
        <w:t>señalan que</w:t>
      </w:r>
      <w:r w:rsidRPr="00CD0C90">
        <w:rPr>
          <w:rFonts w:asciiTheme="majorHAnsi" w:hAnsiTheme="majorHAnsi" w:cstheme="majorHAnsi"/>
        </w:rPr>
        <w:t xml:space="preserve"> el proceso de formulación de políticas en Chile </w:t>
      </w:r>
      <w:r w:rsidR="005C3570" w:rsidRPr="00CD0C90">
        <w:rPr>
          <w:rFonts w:asciiTheme="majorHAnsi" w:hAnsiTheme="majorHAnsi" w:cstheme="majorHAnsi"/>
        </w:rPr>
        <w:t>se basa en</w:t>
      </w:r>
      <w:r w:rsidRPr="00CD0C90">
        <w:rPr>
          <w:rFonts w:asciiTheme="majorHAnsi" w:hAnsiTheme="majorHAnsi" w:cstheme="majorHAnsi"/>
        </w:rPr>
        <w:t xml:space="preserve"> un </w:t>
      </w:r>
      <w:r w:rsidR="001D4B0A" w:rsidRPr="00CD0C90">
        <w:rPr>
          <w:rFonts w:asciiTheme="majorHAnsi" w:hAnsiTheme="majorHAnsi" w:cstheme="majorHAnsi"/>
        </w:rPr>
        <w:t>ejecutivo</w:t>
      </w:r>
      <w:r w:rsidRPr="00CD0C90">
        <w:rPr>
          <w:rFonts w:asciiTheme="majorHAnsi" w:hAnsiTheme="majorHAnsi" w:cstheme="majorHAnsi"/>
        </w:rPr>
        <w:t xml:space="preserve"> con control de facto de la agenda que coexiste con "puntos de veto" que permiten a actores afectados</w:t>
      </w:r>
      <w:r w:rsidR="005C3570" w:rsidRPr="00CD0C90">
        <w:rPr>
          <w:rFonts w:asciiTheme="majorHAnsi" w:hAnsiTheme="majorHAnsi" w:cstheme="majorHAnsi"/>
        </w:rPr>
        <w:t xml:space="preserve">, como </w:t>
      </w:r>
      <w:r w:rsidRPr="00CD0C90">
        <w:rPr>
          <w:rFonts w:asciiTheme="majorHAnsi" w:hAnsiTheme="majorHAnsi" w:cstheme="majorHAnsi"/>
        </w:rPr>
        <w:t>gremios eléctricos, sindicatos del carbón</w:t>
      </w:r>
      <w:r w:rsidR="005C3570" w:rsidRPr="00CD0C90">
        <w:rPr>
          <w:rFonts w:asciiTheme="majorHAnsi" w:hAnsiTheme="majorHAnsi" w:cstheme="majorHAnsi"/>
        </w:rPr>
        <w:t xml:space="preserve"> y </w:t>
      </w:r>
      <w:r w:rsidR="005C3570" w:rsidRPr="00CD0C90">
        <w:rPr>
          <w:rFonts w:asciiTheme="majorHAnsi" w:hAnsiTheme="majorHAnsi" w:cstheme="majorHAnsi"/>
        </w:rPr>
        <w:lastRenderedPageBreak/>
        <w:t>a</w:t>
      </w:r>
      <w:r w:rsidRPr="00CD0C90">
        <w:rPr>
          <w:rFonts w:asciiTheme="majorHAnsi" w:hAnsiTheme="majorHAnsi" w:cstheme="majorHAnsi"/>
        </w:rPr>
        <w:t>ctores regionales</w:t>
      </w:r>
      <w:r w:rsidR="005C3570" w:rsidRPr="00CD0C90">
        <w:rPr>
          <w:rFonts w:asciiTheme="majorHAnsi" w:hAnsiTheme="majorHAnsi" w:cstheme="majorHAnsi"/>
        </w:rPr>
        <w:t>,</w:t>
      </w:r>
      <w:r w:rsidRPr="00CD0C90">
        <w:rPr>
          <w:rFonts w:asciiTheme="majorHAnsi" w:hAnsiTheme="majorHAnsi" w:cstheme="majorHAnsi"/>
        </w:rPr>
        <w:t xml:space="preserve"> bloquear el cambio normativo</w:t>
      </w:r>
      <w:r w:rsidR="005C3570" w:rsidRPr="00CD0C90">
        <w:rPr>
          <w:rFonts w:asciiTheme="majorHAnsi" w:hAnsiTheme="majorHAnsi" w:cstheme="majorHAnsi"/>
        </w:rPr>
        <w:t>. Lo anterior hace que</w:t>
      </w:r>
      <w:r w:rsidRPr="00CD0C90">
        <w:rPr>
          <w:rFonts w:asciiTheme="majorHAnsi" w:hAnsiTheme="majorHAnsi" w:cstheme="majorHAnsi"/>
        </w:rPr>
        <w:t xml:space="preserve"> las políticas prospe</w:t>
      </w:r>
      <w:r w:rsidR="005C3570" w:rsidRPr="00CD0C90">
        <w:rPr>
          <w:rFonts w:asciiTheme="majorHAnsi" w:hAnsiTheme="majorHAnsi" w:cstheme="majorHAnsi"/>
        </w:rPr>
        <w:t>r</w:t>
      </w:r>
      <w:r w:rsidRPr="00CD0C90">
        <w:rPr>
          <w:rFonts w:asciiTheme="majorHAnsi" w:hAnsiTheme="majorHAnsi" w:cstheme="majorHAnsi"/>
        </w:rPr>
        <w:t xml:space="preserve">an cuando los intereses del </w:t>
      </w:r>
      <w:r w:rsidR="001D4B0A" w:rsidRPr="00CD0C90">
        <w:rPr>
          <w:rFonts w:asciiTheme="majorHAnsi" w:hAnsiTheme="majorHAnsi" w:cstheme="majorHAnsi"/>
        </w:rPr>
        <w:t>ejecutivo</w:t>
      </w:r>
      <w:r w:rsidRPr="00CD0C90">
        <w:rPr>
          <w:rFonts w:asciiTheme="majorHAnsi" w:hAnsiTheme="majorHAnsi" w:cstheme="majorHAnsi"/>
        </w:rPr>
        <w:t xml:space="preserve"> y los veto players convergen, y se estan</w:t>
      </w:r>
      <w:r w:rsidR="005C3570" w:rsidRPr="00CD0C90">
        <w:rPr>
          <w:rFonts w:asciiTheme="majorHAnsi" w:hAnsiTheme="majorHAnsi" w:cstheme="majorHAnsi"/>
        </w:rPr>
        <w:t>quen</w:t>
      </w:r>
      <w:r w:rsidRPr="00CD0C90">
        <w:rPr>
          <w:rFonts w:asciiTheme="majorHAnsi" w:hAnsiTheme="majorHAnsi" w:cstheme="majorHAnsi"/>
        </w:rPr>
        <w:t xml:space="preserve"> cuando </w:t>
      </w:r>
      <w:r w:rsidR="005C3570" w:rsidRPr="00CD0C90">
        <w:rPr>
          <w:rFonts w:asciiTheme="majorHAnsi" w:hAnsiTheme="majorHAnsi" w:cstheme="majorHAnsi"/>
        </w:rPr>
        <w:t>se presentan diferencias</w:t>
      </w:r>
      <w:r w:rsidRPr="00CD0C90">
        <w:rPr>
          <w:rFonts w:asciiTheme="majorHAnsi" w:hAnsiTheme="majorHAnsi" w:cstheme="majorHAnsi"/>
        </w:rPr>
        <w:t>,</w:t>
      </w:r>
      <w:r w:rsidR="005C3570" w:rsidRPr="00CD0C90">
        <w:rPr>
          <w:rFonts w:asciiTheme="majorHAnsi" w:hAnsiTheme="majorHAnsi" w:cstheme="majorHAnsi"/>
        </w:rPr>
        <w:t xml:space="preserve"> como también se puede ver en el tema energético </w:t>
      </w:r>
      <w:r w:rsidRPr="00CD0C90">
        <w:rPr>
          <w:rFonts w:asciiTheme="majorHAnsi" w:hAnsiTheme="majorHAnsi" w:cstheme="majorHAnsi"/>
        </w:rPr>
        <w:t>(</w:t>
      </w:r>
      <w:r w:rsidR="005C3570" w:rsidRPr="00CD0C90">
        <w:rPr>
          <w:rFonts w:asciiTheme="majorHAnsi" w:hAnsiTheme="majorHAnsi" w:cstheme="majorHAnsi"/>
        </w:rPr>
        <w:t>BID, s. f.</w:t>
      </w:r>
      <w:r w:rsidRPr="00CD0C90">
        <w:rPr>
          <w:rFonts w:asciiTheme="majorHAnsi" w:hAnsiTheme="majorHAnsi" w:cstheme="majorHAnsi"/>
        </w:rPr>
        <w:t xml:space="preserve">). Así, la </w:t>
      </w:r>
      <w:r w:rsidR="005C3570" w:rsidRPr="00CD0C90">
        <w:rPr>
          <w:rFonts w:asciiTheme="majorHAnsi" w:hAnsiTheme="majorHAnsi" w:cstheme="majorHAnsi"/>
        </w:rPr>
        <w:t>rapidez</w:t>
      </w:r>
      <w:r w:rsidRPr="00CD0C90">
        <w:rPr>
          <w:rFonts w:asciiTheme="majorHAnsi" w:hAnsiTheme="majorHAnsi" w:cstheme="majorHAnsi"/>
        </w:rPr>
        <w:t xml:space="preserve"> de la Ley 21.505 frente a la Ley 21.455 </w:t>
      </w:r>
      <w:r w:rsidR="005C3570" w:rsidRPr="00CD0C90">
        <w:rPr>
          <w:rFonts w:asciiTheme="majorHAnsi" w:hAnsiTheme="majorHAnsi" w:cstheme="majorHAnsi"/>
        </w:rPr>
        <w:t>es fruto de la</w:t>
      </w:r>
      <w:r w:rsidRPr="00CD0C90">
        <w:rPr>
          <w:rFonts w:asciiTheme="majorHAnsi" w:hAnsiTheme="majorHAnsi" w:cstheme="majorHAnsi"/>
        </w:rPr>
        <w:t xml:space="preserve"> convergencia temprana entre el </w:t>
      </w:r>
      <w:r w:rsidR="001D4B0A" w:rsidRPr="00CD0C90">
        <w:rPr>
          <w:rFonts w:asciiTheme="majorHAnsi" w:hAnsiTheme="majorHAnsi" w:cstheme="majorHAnsi"/>
        </w:rPr>
        <w:t>ejecutivo</w:t>
      </w:r>
      <w:r w:rsidRPr="00CD0C90">
        <w:rPr>
          <w:rFonts w:asciiTheme="majorHAnsi" w:hAnsiTheme="majorHAnsi" w:cstheme="majorHAnsi"/>
        </w:rPr>
        <w:t xml:space="preserve"> y los veto players sectoriales, mientras que la Ley Marco de Cambio Climático requirió una convergencia más prolongada dada su densidad regulatoria e impacto.</w:t>
      </w:r>
    </w:p>
    <w:p w14:paraId="69E6AB7D" w14:textId="77777777" w:rsidR="00CD0C90" w:rsidRPr="00CD0C90" w:rsidRDefault="00CD0C90" w:rsidP="00CD0C90">
      <w:pPr>
        <w:spacing w:after="0"/>
        <w:jc w:val="both"/>
        <w:rPr>
          <w:rFonts w:asciiTheme="majorHAnsi" w:hAnsiTheme="majorHAnsi" w:cstheme="majorHAnsi"/>
        </w:rPr>
      </w:pPr>
    </w:p>
    <w:p w14:paraId="735BD9B7" w14:textId="77777777" w:rsidR="00CD0C90" w:rsidRPr="00CD0C90" w:rsidRDefault="00200923" w:rsidP="00CD0C90">
      <w:pPr>
        <w:spacing w:after="0"/>
        <w:jc w:val="both"/>
        <w:rPr>
          <w:rFonts w:asciiTheme="majorHAnsi" w:hAnsiTheme="majorHAnsi" w:cstheme="majorHAnsi"/>
        </w:rPr>
      </w:pPr>
      <w:r w:rsidRPr="00CD0C90">
        <w:rPr>
          <w:rFonts w:asciiTheme="majorHAnsi" w:hAnsiTheme="majorHAnsi" w:cstheme="majorHAnsi"/>
          <w:b/>
          <w:bCs/>
        </w:rPr>
        <w:t>Tabla 2.</w:t>
      </w:r>
    </w:p>
    <w:p w14:paraId="43C9499A" w14:textId="74DA3CCF" w:rsidR="00200923" w:rsidRPr="00CD0C90" w:rsidRDefault="00200923" w:rsidP="00CD0C90">
      <w:pPr>
        <w:spacing w:after="240"/>
        <w:jc w:val="both"/>
        <w:rPr>
          <w:rFonts w:asciiTheme="majorHAnsi" w:hAnsiTheme="majorHAnsi" w:cstheme="majorHAnsi"/>
        </w:rPr>
      </w:pPr>
      <w:r w:rsidRPr="00CD0C90">
        <w:rPr>
          <w:rFonts w:asciiTheme="majorHAnsi" w:hAnsiTheme="majorHAnsi" w:cstheme="majorHAnsi"/>
        </w:rPr>
        <w:t xml:space="preserve">Comparación de la dinámica </w:t>
      </w:r>
      <w:r w:rsidR="001D4B0A" w:rsidRPr="00CD0C90">
        <w:rPr>
          <w:rFonts w:asciiTheme="majorHAnsi" w:hAnsiTheme="majorHAnsi" w:cstheme="majorHAnsi"/>
        </w:rPr>
        <w:t>legislativo</w:t>
      </w:r>
      <w:r w:rsidRPr="00CD0C90">
        <w:rPr>
          <w:rFonts w:asciiTheme="majorHAnsi" w:hAnsiTheme="majorHAnsi" w:cstheme="majorHAnsi"/>
        </w:rPr>
        <w:t>-</w:t>
      </w:r>
      <w:r w:rsidR="001D4B0A" w:rsidRPr="00CD0C90">
        <w:rPr>
          <w:rFonts w:asciiTheme="majorHAnsi" w:hAnsiTheme="majorHAnsi" w:cstheme="majorHAnsi"/>
        </w:rPr>
        <w:t>ejecutivo</w:t>
      </w:r>
      <w:r w:rsidRPr="00CD0C90">
        <w:rPr>
          <w:rFonts w:asciiTheme="majorHAnsi" w:hAnsiTheme="majorHAnsi" w:cstheme="majorHAnsi"/>
        </w:rPr>
        <w:t xml:space="preserve"> en materia energética: Colombia y Chile</w:t>
      </w:r>
    </w:p>
    <w:tbl>
      <w:tblPr>
        <w:tblStyle w:val="Tablaconcuadrcula2-nfasis6"/>
        <w:tblW w:w="9360" w:type="dxa"/>
        <w:tblLook w:val="04A0" w:firstRow="1" w:lastRow="0" w:firstColumn="1" w:lastColumn="0" w:noHBand="0" w:noVBand="1"/>
      </w:tblPr>
      <w:tblGrid>
        <w:gridCol w:w="1698"/>
        <w:gridCol w:w="1846"/>
        <w:gridCol w:w="3186"/>
        <w:gridCol w:w="2630"/>
      </w:tblGrid>
      <w:tr w:rsidR="00313E51" w:rsidRPr="00CD0C90" w14:paraId="2DB4BBBC" w14:textId="77777777" w:rsidTr="00313E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vAlign w:val="center"/>
          </w:tcPr>
          <w:p w14:paraId="1C197C4E" w14:textId="77777777" w:rsidR="00200923" w:rsidRPr="00CD0C90" w:rsidRDefault="00200923" w:rsidP="00CD0C90">
            <w:pPr>
              <w:spacing w:line="276" w:lineRule="auto"/>
              <w:jc w:val="center"/>
              <w:rPr>
                <w:rFonts w:asciiTheme="majorHAnsi" w:hAnsiTheme="majorHAnsi" w:cstheme="majorHAnsi"/>
              </w:rPr>
            </w:pPr>
            <w:r w:rsidRPr="00CD0C90">
              <w:rPr>
                <w:rFonts w:asciiTheme="majorHAnsi" w:hAnsiTheme="majorHAnsi" w:cstheme="majorHAnsi"/>
              </w:rPr>
              <w:t>Dimensión</w:t>
            </w:r>
          </w:p>
        </w:tc>
        <w:tc>
          <w:tcPr>
            <w:tcW w:w="1846" w:type="dxa"/>
            <w:vAlign w:val="center"/>
          </w:tcPr>
          <w:p w14:paraId="18C26A45" w14:textId="77777777" w:rsidR="00200923" w:rsidRPr="00CD0C90" w:rsidRDefault="00200923" w:rsidP="00CD0C90">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Colombia</w:t>
            </w:r>
          </w:p>
        </w:tc>
        <w:tc>
          <w:tcPr>
            <w:tcW w:w="3186" w:type="dxa"/>
            <w:vAlign w:val="center"/>
          </w:tcPr>
          <w:p w14:paraId="757399CD" w14:textId="77777777" w:rsidR="00200923" w:rsidRPr="00CD0C90" w:rsidRDefault="00200923" w:rsidP="00CD0C90">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Chile</w:t>
            </w:r>
          </w:p>
        </w:tc>
        <w:tc>
          <w:tcPr>
            <w:tcW w:w="2630" w:type="dxa"/>
            <w:vAlign w:val="center"/>
          </w:tcPr>
          <w:p w14:paraId="6EE04B46" w14:textId="77777777" w:rsidR="00200923" w:rsidRPr="00CD0C90" w:rsidRDefault="00200923" w:rsidP="00CD0C90">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Implicación para la TEJ</w:t>
            </w:r>
          </w:p>
        </w:tc>
      </w:tr>
      <w:tr w:rsidR="00313E51" w:rsidRPr="00CD0C90" w14:paraId="62274379" w14:textId="77777777" w:rsidTr="00313E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vAlign w:val="center"/>
          </w:tcPr>
          <w:p w14:paraId="0992E627" w14:textId="77777777" w:rsidR="00200923" w:rsidRPr="00CD0C90" w:rsidRDefault="00200923" w:rsidP="00CD0C90">
            <w:pPr>
              <w:spacing w:line="276" w:lineRule="auto"/>
              <w:jc w:val="center"/>
              <w:rPr>
                <w:rFonts w:asciiTheme="majorHAnsi" w:hAnsiTheme="majorHAnsi" w:cstheme="majorHAnsi"/>
              </w:rPr>
            </w:pPr>
            <w:r w:rsidRPr="00CD0C90">
              <w:rPr>
                <w:rFonts w:asciiTheme="majorHAnsi" w:hAnsiTheme="majorHAnsi" w:cstheme="majorHAnsi"/>
              </w:rPr>
              <w:t>Fragmentación partidaria</w:t>
            </w:r>
          </w:p>
        </w:tc>
        <w:tc>
          <w:tcPr>
            <w:tcW w:w="1846" w:type="dxa"/>
            <w:vAlign w:val="center"/>
          </w:tcPr>
          <w:p w14:paraId="63942B40" w14:textId="77777777" w:rsidR="00200923" w:rsidRPr="00CD0C90" w:rsidRDefault="00200923" w:rsidP="00CD0C9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Alta, sin mecanismo estable de agregación de preferencias</w:t>
            </w:r>
          </w:p>
        </w:tc>
        <w:tc>
          <w:tcPr>
            <w:tcW w:w="3186" w:type="dxa"/>
            <w:vAlign w:val="center"/>
          </w:tcPr>
          <w:p w14:paraId="464C2239" w14:textId="77777777" w:rsidR="00200923" w:rsidRPr="00CD0C90" w:rsidRDefault="00200923" w:rsidP="00CD0C9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Alta y multipartidista, sin bancada de gobierno estable, con tasas de éxito legislativo presidencial de entre 46% y 81% según el gobierno</w:t>
            </w:r>
          </w:p>
        </w:tc>
        <w:tc>
          <w:tcPr>
            <w:tcW w:w="2630" w:type="dxa"/>
            <w:vAlign w:val="center"/>
          </w:tcPr>
          <w:p w14:paraId="71C9B4BA" w14:textId="77777777" w:rsidR="00200923" w:rsidRPr="00CD0C90" w:rsidRDefault="00200923" w:rsidP="00CD0C9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Chile: la fragmentación no impide tasas de aprobación mayoritarias</w:t>
            </w:r>
          </w:p>
        </w:tc>
      </w:tr>
      <w:tr w:rsidR="00200923" w:rsidRPr="00CD0C90" w14:paraId="4D16E70D" w14:textId="77777777" w:rsidTr="00313E51">
        <w:tc>
          <w:tcPr>
            <w:cnfStyle w:val="001000000000" w:firstRow="0" w:lastRow="0" w:firstColumn="1" w:lastColumn="0" w:oddVBand="0" w:evenVBand="0" w:oddHBand="0" w:evenHBand="0" w:firstRowFirstColumn="0" w:firstRowLastColumn="0" w:lastRowFirstColumn="0" w:lastRowLastColumn="0"/>
            <w:tcW w:w="1698" w:type="dxa"/>
            <w:vAlign w:val="center"/>
          </w:tcPr>
          <w:p w14:paraId="17545532" w14:textId="77777777" w:rsidR="00200923" w:rsidRPr="00CD0C90" w:rsidRDefault="00200923" w:rsidP="00CD0C90">
            <w:pPr>
              <w:spacing w:line="276" w:lineRule="auto"/>
              <w:jc w:val="center"/>
              <w:rPr>
                <w:rFonts w:asciiTheme="majorHAnsi" w:hAnsiTheme="majorHAnsi" w:cstheme="majorHAnsi"/>
              </w:rPr>
            </w:pPr>
            <w:r w:rsidRPr="00CD0C90">
              <w:rPr>
                <w:rFonts w:asciiTheme="majorHAnsi" w:hAnsiTheme="majorHAnsi" w:cstheme="majorHAnsi"/>
              </w:rPr>
              <w:t>Gatekeeping legislativo</w:t>
            </w:r>
          </w:p>
        </w:tc>
        <w:tc>
          <w:tcPr>
            <w:tcW w:w="1846" w:type="dxa"/>
            <w:vAlign w:val="center"/>
          </w:tcPr>
          <w:p w14:paraId="195529A5" w14:textId="77777777" w:rsidR="00200923" w:rsidRPr="00CD0C90" w:rsidRDefault="00200923" w:rsidP="00CD0C90">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Concentrado en Comisión Quinta de Senado y Sexta de Cámara</w:t>
            </w:r>
          </w:p>
        </w:tc>
        <w:tc>
          <w:tcPr>
            <w:tcW w:w="3186" w:type="dxa"/>
            <w:vAlign w:val="center"/>
          </w:tcPr>
          <w:p w14:paraId="732B678B" w14:textId="77777777" w:rsidR="00200923" w:rsidRPr="00CD0C90" w:rsidRDefault="00200923" w:rsidP="00CD0C90">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Concentrado en la Comisión de Minería y Energía de cada cámara, con tiempos de tramitación que varían de 194 a 427 días según el gobierno</w:t>
            </w:r>
          </w:p>
        </w:tc>
        <w:tc>
          <w:tcPr>
            <w:tcW w:w="2630" w:type="dxa"/>
            <w:vAlign w:val="center"/>
          </w:tcPr>
          <w:p w14:paraId="63304012" w14:textId="77777777" w:rsidR="00200923" w:rsidRPr="00CD0C90" w:rsidRDefault="00200923" w:rsidP="00CD0C90">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Chile: mayor previsibilidad institucional, aunque con variabilidad política</w:t>
            </w:r>
          </w:p>
        </w:tc>
      </w:tr>
      <w:tr w:rsidR="00313E51" w:rsidRPr="00CD0C90" w14:paraId="3626C9AB" w14:textId="77777777" w:rsidTr="00313E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vAlign w:val="center"/>
          </w:tcPr>
          <w:p w14:paraId="02AAC8E0" w14:textId="77777777" w:rsidR="00200923" w:rsidRPr="00CD0C90" w:rsidRDefault="00200923" w:rsidP="00CD0C90">
            <w:pPr>
              <w:spacing w:line="276" w:lineRule="auto"/>
              <w:jc w:val="center"/>
              <w:rPr>
                <w:rFonts w:asciiTheme="majorHAnsi" w:hAnsiTheme="majorHAnsi" w:cstheme="majorHAnsi"/>
              </w:rPr>
            </w:pPr>
            <w:r w:rsidRPr="00CD0C90">
              <w:rPr>
                <w:rFonts w:asciiTheme="majorHAnsi" w:hAnsiTheme="majorHAnsi" w:cstheme="majorHAnsi"/>
              </w:rPr>
              <w:t>Capacidad técnica legislativa</w:t>
            </w:r>
          </w:p>
        </w:tc>
        <w:tc>
          <w:tcPr>
            <w:tcW w:w="1846" w:type="dxa"/>
            <w:vAlign w:val="center"/>
          </w:tcPr>
          <w:p w14:paraId="6CE8E31C" w14:textId="77777777" w:rsidR="00200923" w:rsidRPr="00CD0C90" w:rsidRDefault="00200923" w:rsidP="00CD0C9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UTL individuales, no especializadas</w:t>
            </w:r>
          </w:p>
        </w:tc>
        <w:tc>
          <w:tcPr>
            <w:tcW w:w="3186" w:type="dxa"/>
            <w:vAlign w:val="center"/>
          </w:tcPr>
          <w:p w14:paraId="3D5D89AF" w14:textId="77777777" w:rsidR="00200923" w:rsidRPr="00CD0C90" w:rsidRDefault="00200923" w:rsidP="00CD0C9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BCN y su Asesoría Técnica Parlamentaria (ATP): cuerpo técnico permanente y no partidista, con más de 1.100 servicios anuales</w:t>
            </w:r>
          </w:p>
        </w:tc>
        <w:tc>
          <w:tcPr>
            <w:tcW w:w="2630" w:type="dxa"/>
            <w:vAlign w:val="center"/>
          </w:tcPr>
          <w:p w14:paraId="4877C754" w14:textId="4DA07941" w:rsidR="00200923" w:rsidRPr="00CD0C90" w:rsidRDefault="00200923" w:rsidP="00CD0C9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 xml:space="preserve">Chile: menor asimetría de información entre </w:t>
            </w:r>
            <w:r w:rsidR="001D4B0A" w:rsidRPr="00CD0C90">
              <w:rPr>
                <w:rFonts w:asciiTheme="majorHAnsi" w:hAnsiTheme="majorHAnsi" w:cstheme="majorHAnsi"/>
              </w:rPr>
              <w:t>ejecutivo</w:t>
            </w:r>
            <w:r w:rsidRPr="00CD0C90">
              <w:rPr>
                <w:rFonts w:asciiTheme="majorHAnsi" w:hAnsiTheme="majorHAnsi" w:cstheme="majorHAnsi"/>
              </w:rPr>
              <w:t xml:space="preserve"> y </w:t>
            </w:r>
            <w:r w:rsidR="001D4B0A" w:rsidRPr="00CD0C90">
              <w:rPr>
                <w:rFonts w:asciiTheme="majorHAnsi" w:hAnsiTheme="majorHAnsi" w:cstheme="majorHAnsi"/>
              </w:rPr>
              <w:t>legislativo</w:t>
            </w:r>
          </w:p>
        </w:tc>
      </w:tr>
      <w:tr w:rsidR="00200923" w:rsidRPr="00CD0C90" w14:paraId="67F42761" w14:textId="77777777" w:rsidTr="00313E51">
        <w:tc>
          <w:tcPr>
            <w:cnfStyle w:val="001000000000" w:firstRow="0" w:lastRow="0" w:firstColumn="1" w:lastColumn="0" w:oddVBand="0" w:evenVBand="0" w:oddHBand="0" w:evenHBand="0" w:firstRowFirstColumn="0" w:firstRowLastColumn="0" w:lastRowFirstColumn="0" w:lastRowLastColumn="0"/>
            <w:tcW w:w="1698" w:type="dxa"/>
            <w:vAlign w:val="center"/>
          </w:tcPr>
          <w:p w14:paraId="09136B08" w14:textId="77777777" w:rsidR="00200923" w:rsidRPr="00CD0C90" w:rsidRDefault="00200923" w:rsidP="00CD0C90">
            <w:pPr>
              <w:spacing w:line="276" w:lineRule="auto"/>
              <w:jc w:val="center"/>
              <w:rPr>
                <w:rFonts w:asciiTheme="majorHAnsi" w:hAnsiTheme="majorHAnsi" w:cstheme="majorHAnsi"/>
              </w:rPr>
            </w:pPr>
            <w:r w:rsidRPr="00CD0C90">
              <w:rPr>
                <w:rFonts w:asciiTheme="majorHAnsi" w:hAnsiTheme="majorHAnsi" w:cstheme="majorHAnsi"/>
              </w:rPr>
              <w:t>Mecanismo de negociación de recursos</w:t>
            </w:r>
          </w:p>
        </w:tc>
        <w:tc>
          <w:tcPr>
            <w:tcW w:w="1846" w:type="dxa"/>
            <w:vAlign w:val="center"/>
          </w:tcPr>
          <w:p w14:paraId="48FDD771" w14:textId="77777777" w:rsidR="00200923" w:rsidRPr="00CD0C90" w:rsidRDefault="00200923" w:rsidP="00CD0C90">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Ad hoc, sujeto a relaciones personales</w:t>
            </w:r>
          </w:p>
        </w:tc>
        <w:tc>
          <w:tcPr>
            <w:tcW w:w="3186" w:type="dxa"/>
            <w:vAlign w:val="center"/>
          </w:tcPr>
          <w:p w14:paraId="4D3ED31B" w14:textId="77777777" w:rsidR="00200923" w:rsidRPr="00CD0C90" w:rsidRDefault="00200923" w:rsidP="00CD0C90">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No institucionalizado como transferencia presupuestaria; opera mediante convergencia con "puntos de veto" sectoriales (gremios, sindicatos, actores regionales)</w:t>
            </w:r>
          </w:p>
        </w:tc>
        <w:tc>
          <w:tcPr>
            <w:tcW w:w="2630" w:type="dxa"/>
            <w:vAlign w:val="center"/>
          </w:tcPr>
          <w:p w14:paraId="7E359077" w14:textId="77777777" w:rsidR="00200923" w:rsidRPr="00CD0C90" w:rsidRDefault="00200923" w:rsidP="00CD0C90">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Chile: negociación programática antes que distributiva</w:t>
            </w:r>
          </w:p>
        </w:tc>
      </w:tr>
      <w:tr w:rsidR="00313E51" w:rsidRPr="00CD0C90" w14:paraId="6755D216" w14:textId="77777777" w:rsidTr="00313E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vAlign w:val="center"/>
          </w:tcPr>
          <w:p w14:paraId="1C97A1B6" w14:textId="77777777" w:rsidR="00200923" w:rsidRPr="00CD0C90" w:rsidRDefault="00200923" w:rsidP="00CD0C90">
            <w:pPr>
              <w:spacing w:line="276" w:lineRule="auto"/>
              <w:jc w:val="center"/>
              <w:rPr>
                <w:rFonts w:asciiTheme="majorHAnsi" w:hAnsiTheme="majorHAnsi" w:cstheme="majorHAnsi"/>
              </w:rPr>
            </w:pPr>
            <w:r w:rsidRPr="00CD0C90">
              <w:rPr>
                <w:rFonts w:asciiTheme="majorHAnsi" w:hAnsiTheme="majorHAnsi" w:cstheme="majorHAnsi"/>
              </w:rPr>
              <w:t>Espacio de construcción de consenso previo</w:t>
            </w:r>
          </w:p>
        </w:tc>
        <w:tc>
          <w:tcPr>
            <w:tcW w:w="1846" w:type="dxa"/>
            <w:vAlign w:val="center"/>
          </w:tcPr>
          <w:p w14:paraId="0023850F" w14:textId="77777777" w:rsidR="00200923" w:rsidRPr="00CD0C90" w:rsidRDefault="00200923" w:rsidP="00CD0C9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Inexistente para energía</w:t>
            </w:r>
          </w:p>
        </w:tc>
        <w:tc>
          <w:tcPr>
            <w:tcW w:w="3186" w:type="dxa"/>
            <w:vAlign w:val="center"/>
          </w:tcPr>
          <w:p w14:paraId="6DB43DEE" w14:textId="77777777" w:rsidR="00200923" w:rsidRPr="00CD0C90" w:rsidRDefault="00200923" w:rsidP="00CD0C9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Sin foro tripartito equivalente al FONTE; la convergencia se apoya en la capacidad técnica compartida de la BCN</w:t>
            </w:r>
          </w:p>
        </w:tc>
        <w:tc>
          <w:tcPr>
            <w:tcW w:w="2630" w:type="dxa"/>
            <w:vAlign w:val="center"/>
          </w:tcPr>
          <w:p w14:paraId="36B8B71E" w14:textId="77777777" w:rsidR="00200923" w:rsidRPr="00CD0C90" w:rsidRDefault="00200923" w:rsidP="00CD0C9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Chile: la calidad técnica sustituye parcialmente al consenso institucionalizado previo</w:t>
            </w:r>
          </w:p>
        </w:tc>
      </w:tr>
    </w:tbl>
    <w:p w14:paraId="11EA91A8" w14:textId="527D243D" w:rsidR="00200923" w:rsidRPr="00CD0C90" w:rsidRDefault="00200923" w:rsidP="00E63C4F">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Fuente: Elaboración propia. Basado en: Tsebelis (1995), Aninat, Londregan, Navia y Vial (2006).</w:t>
      </w:r>
    </w:p>
    <w:p w14:paraId="75756B6F" w14:textId="1B623BD1" w:rsidR="00FF7AC3" w:rsidRPr="00CD0C90" w:rsidRDefault="00622B8B"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lastRenderedPageBreak/>
        <w:t>E</w:t>
      </w:r>
      <w:r w:rsidR="005C3570" w:rsidRPr="00CD0C90">
        <w:rPr>
          <w:rFonts w:asciiTheme="majorHAnsi" w:hAnsiTheme="majorHAnsi" w:cstheme="majorHAnsi"/>
        </w:rPr>
        <w:t>n e</w:t>
      </w:r>
      <w:r w:rsidRPr="00CD0C90">
        <w:rPr>
          <w:rFonts w:asciiTheme="majorHAnsi" w:hAnsiTheme="majorHAnsi" w:cstheme="majorHAnsi"/>
        </w:rPr>
        <w:t xml:space="preserve">l caso chileno </w:t>
      </w:r>
      <w:r w:rsidR="005C3570" w:rsidRPr="00CD0C90">
        <w:rPr>
          <w:rFonts w:asciiTheme="majorHAnsi" w:hAnsiTheme="majorHAnsi" w:cstheme="majorHAnsi"/>
        </w:rPr>
        <w:t xml:space="preserve">no existe </w:t>
      </w:r>
      <w:r w:rsidRPr="00CD0C90">
        <w:rPr>
          <w:rFonts w:asciiTheme="majorHAnsi" w:hAnsiTheme="majorHAnsi" w:cstheme="majorHAnsi"/>
        </w:rPr>
        <w:t>un mecanismo de agregación de preferencias previo a la radicación de proyectos</w:t>
      </w:r>
      <w:r w:rsidR="005C3570" w:rsidRPr="00CD0C90">
        <w:rPr>
          <w:rFonts w:asciiTheme="majorHAnsi" w:hAnsiTheme="majorHAnsi" w:cstheme="majorHAnsi"/>
        </w:rPr>
        <w:t>, c</w:t>
      </w:r>
      <w:r w:rsidRPr="00CD0C90">
        <w:rPr>
          <w:rFonts w:asciiTheme="majorHAnsi" w:hAnsiTheme="majorHAnsi" w:cstheme="majorHAnsi"/>
        </w:rPr>
        <w:t xml:space="preserve">omo el FONTE en Brasil, sino una capacidad técnica legislativa autónoma y de alta especialización </w:t>
      </w:r>
      <w:r w:rsidR="005C3570" w:rsidRPr="00CD0C90">
        <w:rPr>
          <w:rFonts w:asciiTheme="majorHAnsi" w:hAnsiTheme="majorHAnsi" w:cstheme="majorHAnsi"/>
        </w:rPr>
        <w:t>(</w:t>
      </w:r>
      <w:r w:rsidRPr="00CD0C90">
        <w:rPr>
          <w:rFonts w:asciiTheme="majorHAnsi" w:hAnsiTheme="majorHAnsi" w:cstheme="majorHAnsi"/>
        </w:rPr>
        <w:t>la BCN y su ATP</w:t>
      </w:r>
      <w:r w:rsidR="005C3570" w:rsidRPr="00CD0C90">
        <w:rPr>
          <w:rFonts w:asciiTheme="majorHAnsi" w:hAnsiTheme="majorHAnsi" w:cstheme="majorHAnsi"/>
        </w:rPr>
        <w:t xml:space="preserve">) </w:t>
      </w:r>
      <w:r w:rsidRPr="00CD0C90">
        <w:rPr>
          <w:rFonts w:asciiTheme="majorHAnsi" w:hAnsiTheme="majorHAnsi" w:cstheme="majorHAnsi"/>
        </w:rPr>
        <w:t xml:space="preserve">que reduce la asimetría de información entre el </w:t>
      </w:r>
      <w:r w:rsidR="001D4B0A" w:rsidRPr="00CD0C90">
        <w:rPr>
          <w:rFonts w:asciiTheme="majorHAnsi" w:hAnsiTheme="majorHAnsi" w:cstheme="majorHAnsi"/>
        </w:rPr>
        <w:t>ejecutivo</w:t>
      </w:r>
      <w:r w:rsidRPr="00CD0C90">
        <w:rPr>
          <w:rFonts w:asciiTheme="majorHAnsi" w:hAnsiTheme="majorHAnsi" w:cstheme="majorHAnsi"/>
        </w:rPr>
        <w:t xml:space="preserve"> y el </w:t>
      </w:r>
      <w:r w:rsidR="001D4B0A" w:rsidRPr="00CD0C90">
        <w:rPr>
          <w:rFonts w:asciiTheme="majorHAnsi" w:hAnsiTheme="majorHAnsi" w:cstheme="majorHAnsi"/>
        </w:rPr>
        <w:t>legislativo</w:t>
      </w:r>
      <w:r w:rsidRPr="00CD0C90">
        <w:rPr>
          <w:rFonts w:asciiTheme="majorHAnsi" w:hAnsiTheme="majorHAnsi" w:cstheme="majorHAnsi"/>
        </w:rPr>
        <w:t xml:space="preserve"> sin necesidad de que ambos poderes compartan una coalición de gobierno estable. Para el caso colombiano, caracterizado por una fragmentación partidaria comparable a la chilena</w:t>
      </w:r>
      <w:r w:rsidR="005C3570" w:rsidRPr="00CD0C90">
        <w:rPr>
          <w:rFonts w:asciiTheme="majorHAnsi" w:hAnsiTheme="majorHAnsi" w:cstheme="majorHAnsi"/>
        </w:rPr>
        <w:t>,</w:t>
      </w:r>
      <w:r w:rsidRPr="00CD0C90">
        <w:rPr>
          <w:rFonts w:asciiTheme="majorHAnsi" w:hAnsiTheme="majorHAnsi" w:cstheme="majorHAnsi"/>
        </w:rPr>
        <w:t xml:space="preserve"> pero sin ningún equivalente institucional a la BCN, </w:t>
      </w:r>
      <w:r w:rsidR="005C3570" w:rsidRPr="00CD0C90">
        <w:rPr>
          <w:rFonts w:asciiTheme="majorHAnsi" w:hAnsiTheme="majorHAnsi" w:cstheme="majorHAnsi"/>
        </w:rPr>
        <w:t>esto sugiere</w:t>
      </w:r>
      <w:r w:rsidRPr="00CD0C90">
        <w:rPr>
          <w:rFonts w:asciiTheme="majorHAnsi" w:hAnsiTheme="majorHAnsi" w:cstheme="majorHAnsi"/>
        </w:rPr>
        <w:t xml:space="preserve"> que el fortalecimiento del análisis estratégico legislativo no depende exclusivamente de la existencia de mayorías parlamentarias disciplinadas, sino de la inversión sostenida en infraestructura técnica de asesoría, independiente del ciclo político y accesible a todas las bancadas</w:t>
      </w:r>
      <w:r w:rsidR="00FF7AC3" w:rsidRPr="00CD0C90">
        <w:rPr>
          <w:rFonts w:asciiTheme="majorHAnsi" w:hAnsiTheme="majorHAnsi" w:cstheme="majorHAnsi"/>
        </w:rPr>
        <w:t>.</w:t>
      </w:r>
    </w:p>
    <w:p w14:paraId="34A78AAB" w14:textId="230D75A6" w:rsidR="00FF7AC3" w:rsidRPr="00CD0C90" w:rsidRDefault="004724DF" w:rsidP="00CD0C90">
      <w:pPr>
        <w:pStyle w:val="Ttulo3"/>
        <w:spacing w:line="276" w:lineRule="auto"/>
        <w:rPr>
          <w:rFonts w:asciiTheme="majorHAnsi" w:hAnsiTheme="majorHAnsi" w:cstheme="majorHAnsi"/>
          <w:sz w:val="22"/>
          <w:szCs w:val="22"/>
        </w:rPr>
      </w:pPr>
      <w:bookmarkStart w:id="46" w:name="_Toc234920368"/>
      <w:r w:rsidRPr="00CD0C90">
        <w:rPr>
          <w:rFonts w:asciiTheme="majorHAnsi" w:hAnsiTheme="majorHAnsi" w:cstheme="majorHAnsi"/>
          <w:sz w:val="22"/>
          <w:szCs w:val="22"/>
        </w:rPr>
        <w:t>2</w:t>
      </w:r>
      <w:r w:rsidR="00222BBC" w:rsidRPr="00CD0C90">
        <w:rPr>
          <w:rFonts w:asciiTheme="majorHAnsi" w:hAnsiTheme="majorHAnsi" w:cstheme="majorHAnsi"/>
          <w:sz w:val="22"/>
          <w:szCs w:val="22"/>
        </w:rPr>
        <w:t>.</w:t>
      </w:r>
      <w:r w:rsidR="00CD0C90" w:rsidRPr="00CD0C90">
        <w:rPr>
          <w:rFonts w:asciiTheme="majorHAnsi" w:hAnsiTheme="majorHAnsi" w:cstheme="majorHAnsi"/>
          <w:sz w:val="22"/>
          <w:szCs w:val="22"/>
        </w:rPr>
        <w:t>1</w:t>
      </w:r>
      <w:r w:rsidR="00AD77F5" w:rsidRPr="00CD0C90">
        <w:rPr>
          <w:rFonts w:asciiTheme="majorHAnsi" w:hAnsiTheme="majorHAnsi" w:cstheme="majorHAnsi"/>
          <w:sz w:val="22"/>
          <w:szCs w:val="22"/>
        </w:rPr>
        <w:t>.</w:t>
      </w:r>
      <w:r w:rsidR="00FF7AC3" w:rsidRPr="00CD0C90">
        <w:rPr>
          <w:rFonts w:asciiTheme="majorHAnsi" w:hAnsiTheme="majorHAnsi" w:cstheme="majorHAnsi"/>
          <w:sz w:val="22"/>
          <w:szCs w:val="22"/>
        </w:rPr>
        <w:t xml:space="preserve">3 México: </w:t>
      </w:r>
      <w:r w:rsidR="00622B8B" w:rsidRPr="00CD0C90">
        <w:rPr>
          <w:rFonts w:asciiTheme="majorHAnsi" w:hAnsiTheme="majorHAnsi" w:cstheme="majorHAnsi"/>
          <w:sz w:val="22"/>
          <w:szCs w:val="22"/>
        </w:rPr>
        <w:t>mayoría calificada, veto players mínimos y recentralización de política energética</w:t>
      </w:r>
      <w:bookmarkEnd w:id="46"/>
    </w:p>
    <w:p w14:paraId="187890A3" w14:textId="73AC6DE1" w:rsidR="00622B8B" w:rsidRPr="00CD0C90" w:rsidRDefault="00622B8B"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 xml:space="preserve">México es una república presidencial federal en la que el Poder </w:t>
      </w:r>
      <w:r w:rsidR="001D4B0A" w:rsidRPr="00CD0C90">
        <w:rPr>
          <w:rFonts w:asciiTheme="majorHAnsi" w:hAnsiTheme="majorHAnsi" w:cstheme="majorHAnsi"/>
        </w:rPr>
        <w:t>ejecutivo</w:t>
      </w:r>
      <w:r w:rsidRPr="00CD0C90">
        <w:rPr>
          <w:rFonts w:asciiTheme="majorHAnsi" w:hAnsiTheme="majorHAnsi" w:cstheme="majorHAnsi"/>
        </w:rPr>
        <w:t xml:space="preserve"> y el Congreso de la Unión</w:t>
      </w:r>
      <w:r w:rsidR="006118BC" w:rsidRPr="00CD0C90">
        <w:rPr>
          <w:rFonts w:asciiTheme="majorHAnsi" w:hAnsiTheme="majorHAnsi" w:cstheme="majorHAnsi"/>
        </w:rPr>
        <w:t xml:space="preserve">, un organismo </w:t>
      </w:r>
      <w:r w:rsidRPr="00CD0C90">
        <w:rPr>
          <w:rFonts w:asciiTheme="majorHAnsi" w:hAnsiTheme="majorHAnsi" w:cstheme="majorHAnsi"/>
        </w:rPr>
        <w:t>bicameral, integrado por una Cámara de Diputados de 500 miembros y un Senado de 128</w:t>
      </w:r>
      <w:r w:rsidR="006118BC" w:rsidRPr="00CD0C90">
        <w:rPr>
          <w:rFonts w:asciiTheme="majorHAnsi" w:hAnsiTheme="majorHAnsi" w:cstheme="majorHAnsi"/>
        </w:rPr>
        <w:t>,</w:t>
      </w:r>
      <w:r w:rsidRPr="00CD0C90">
        <w:rPr>
          <w:rFonts w:asciiTheme="majorHAnsi" w:hAnsiTheme="majorHAnsi" w:cstheme="majorHAnsi"/>
        </w:rPr>
        <w:t xml:space="preserve"> se eligen por separado y con períodos fijos. Antes de 2025, la arquitectura institucional del sector energético </w:t>
      </w:r>
      <w:r w:rsidR="006118BC" w:rsidRPr="00CD0C90">
        <w:rPr>
          <w:rFonts w:asciiTheme="majorHAnsi" w:hAnsiTheme="majorHAnsi" w:cstheme="majorHAnsi"/>
        </w:rPr>
        <w:t>se centraba</w:t>
      </w:r>
      <w:r w:rsidRPr="00CD0C90">
        <w:rPr>
          <w:rFonts w:asciiTheme="majorHAnsi" w:hAnsiTheme="majorHAnsi" w:cstheme="majorHAnsi"/>
        </w:rPr>
        <w:t xml:space="preserve"> en la Secretaría de Energía (SENER), </w:t>
      </w:r>
      <w:r w:rsidR="006118BC" w:rsidRPr="00CD0C90">
        <w:rPr>
          <w:rFonts w:asciiTheme="majorHAnsi" w:hAnsiTheme="majorHAnsi" w:cstheme="majorHAnsi"/>
        </w:rPr>
        <w:t xml:space="preserve">como </w:t>
      </w:r>
      <w:r w:rsidRPr="00CD0C90">
        <w:rPr>
          <w:rFonts w:asciiTheme="majorHAnsi" w:hAnsiTheme="majorHAnsi" w:cstheme="majorHAnsi"/>
        </w:rPr>
        <w:t>cabeza de sector</w:t>
      </w:r>
      <w:r w:rsidR="006118BC" w:rsidRPr="00CD0C90">
        <w:rPr>
          <w:rFonts w:asciiTheme="majorHAnsi" w:hAnsiTheme="majorHAnsi" w:cstheme="majorHAnsi"/>
        </w:rPr>
        <w:t>,</w:t>
      </w:r>
      <w:r w:rsidRPr="00CD0C90">
        <w:rPr>
          <w:rFonts w:asciiTheme="majorHAnsi" w:hAnsiTheme="majorHAnsi" w:cstheme="majorHAnsi"/>
        </w:rPr>
        <w:t xml:space="preserve"> la Comisión Reguladora de Energía (CRE), creada en 1995 como órgano regulador autónomo de permisos y tarifas y </w:t>
      </w:r>
      <w:r w:rsidR="006118BC" w:rsidRPr="00CD0C90">
        <w:rPr>
          <w:rFonts w:asciiTheme="majorHAnsi" w:hAnsiTheme="majorHAnsi" w:cstheme="majorHAnsi"/>
        </w:rPr>
        <w:t xml:space="preserve">en </w:t>
      </w:r>
      <w:r w:rsidRPr="00CD0C90">
        <w:rPr>
          <w:rFonts w:asciiTheme="majorHAnsi" w:hAnsiTheme="majorHAnsi" w:cstheme="majorHAnsi"/>
        </w:rPr>
        <w:t>la Comisión Nacional para el Uso Eficiente de la Energía, encargada de metas de eficiencia.</w:t>
      </w:r>
    </w:p>
    <w:p w14:paraId="64518C30" w14:textId="1B4B3EB7" w:rsidR="00622B8B" w:rsidRPr="00CD0C90" w:rsidRDefault="00622B8B"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E</w:t>
      </w:r>
      <w:r w:rsidR="006118BC" w:rsidRPr="00CD0C90">
        <w:rPr>
          <w:rFonts w:asciiTheme="majorHAnsi" w:hAnsiTheme="majorHAnsi" w:cstheme="majorHAnsi"/>
        </w:rPr>
        <w:t xml:space="preserve">n </w:t>
      </w:r>
      <w:r w:rsidRPr="00CD0C90">
        <w:rPr>
          <w:rFonts w:asciiTheme="majorHAnsi" w:hAnsiTheme="majorHAnsi" w:cstheme="majorHAnsi"/>
        </w:rPr>
        <w:t>2024</w:t>
      </w:r>
      <w:r w:rsidR="006118BC" w:rsidRPr="00CD0C90">
        <w:rPr>
          <w:rFonts w:asciiTheme="majorHAnsi" w:hAnsiTheme="majorHAnsi" w:cstheme="majorHAnsi"/>
        </w:rPr>
        <w:t xml:space="preserve"> </w:t>
      </w:r>
      <w:r w:rsidRPr="00CD0C90">
        <w:rPr>
          <w:rFonts w:asciiTheme="majorHAnsi" w:hAnsiTheme="majorHAnsi" w:cstheme="majorHAnsi"/>
        </w:rPr>
        <w:t xml:space="preserve">la coalición "Sigamos Haciendo Historia" </w:t>
      </w:r>
      <w:r w:rsidR="006118BC" w:rsidRPr="00CD0C90">
        <w:rPr>
          <w:rFonts w:asciiTheme="majorHAnsi" w:hAnsiTheme="majorHAnsi" w:cstheme="majorHAnsi"/>
        </w:rPr>
        <w:t xml:space="preserve">compuesta por </w:t>
      </w:r>
      <w:r w:rsidRPr="00CD0C90">
        <w:rPr>
          <w:rFonts w:asciiTheme="majorHAnsi" w:hAnsiTheme="majorHAnsi" w:cstheme="majorHAnsi"/>
        </w:rPr>
        <w:t>Morena, el Partido Verde Ecologista de México y el Partido del Trabajo</w:t>
      </w:r>
      <w:r w:rsidR="006118BC" w:rsidRPr="00CD0C90">
        <w:rPr>
          <w:rFonts w:asciiTheme="majorHAnsi" w:hAnsiTheme="majorHAnsi" w:cstheme="majorHAnsi"/>
        </w:rPr>
        <w:t xml:space="preserve">, </w:t>
      </w:r>
      <w:r w:rsidR="00235AF1" w:rsidRPr="00CD0C90">
        <w:rPr>
          <w:rFonts w:asciiTheme="majorHAnsi" w:hAnsiTheme="majorHAnsi" w:cstheme="majorHAnsi"/>
        </w:rPr>
        <w:t>lograron</w:t>
      </w:r>
      <w:r w:rsidRPr="00CD0C90">
        <w:rPr>
          <w:rFonts w:asciiTheme="majorHAnsi" w:hAnsiTheme="majorHAnsi" w:cstheme="majorHAnsi"/>
        </w:rPr>
        <w:t xml:space="preserve"> el control de 364 de las 500 diputaciones federales, 72,8% de la Cámara baja</w:t>
      </w:r>
      <w:r w:rsidR="00235AF1" w:rsidRPr="00CD0C90">
        <w:rPr>
          <w:rFonts w:asciiTheme="majorHAnsi" w:hAnsiTheme="majorHAnsi" w:cstheme="majorHAnsi"/>
        </w:rPr>
        <w:t xml:space="preserve">, siendo así una </w:t>
      </w:r>
      <w:r w:rsidRPr="00CD0C90">
        <w:rPr>
          <w:rFonts w:asciiTheme="majorHAnsi" w:hAnsiTheme="majorHAnsi" w:cstheme="majorHAnsi"/>
        </w:rPr>
        <w:t xml:space="preserve">mayoría calificada </w:t>
      </w:r>
      <w:r w:rsidR="00235AF1" w:rsidRPr="00CD0C90">
        <w:rPr>
          <w:rFonts w:asciiTheme="majorHAnsi" w:hAnsiTheme="majorHAnsi" w:cstheme="majorHAnsi"/>
        </w:rPr>
        <w:t>que podría</w:t>
      </w:r>
      <w:r w:rsidRPr="00CD0C90">
        <w:rPr>
          <w:rFonts w:asciiTheme="majorHAnsi" w:hAnsiTheme="majorHAnsi" w:cstheme="majorHAnsi"/>
        </w:rPr>
        <w:t xml:space="preserve"> reformar la Constitución sin votos de oposición (</w:t>
      </w:r>
      <w:bookmarkStart w:id="47" w:name="_Hlk234690176"/>
      <w:r w:rsidRPr="00CD0C90">
        <w:rPr>
          <w:rFonts w:asciiTheme="majorHAnsi" w:hAnsiTheme="majorHAnsi" w:cstheme="majorHAnsi"/>
        </w:rPr>
        <w:t>CNN, 2024</w:t>
      </w:r>
      <w:bookmarkEnd w:id="47"/>
      <w:r w:rsidRPr="00CD0C90">
        <w:rPr>
          <w:rFonts w:asciiTheme="majorHAnsi" w:hAnsiTheme="majorHAnsi" w:cstheme="majorHAnsi"/>
        </w:rPr>
        <w:t>). En el Senado, la coalición obtuvo entre 83 y 85 de 128 escaños, superando el umbral de 86 mediante adhesiones de legisladores de otros partidos (N</w:t>
      </w:r>
      <w:bookmarkStart w:id="48" w:name="_Hlk234690201"/>
      <w:r w:rsidRPr="00CD0C90">
        <w:rPr>
          <w:rFonts w:asciiTheme="majorHAnsi" w:hAnsiTheme="majorHAnsi" w:cstheme="majorHAnsi"/>
        </w:rPr>
        <w:t>+, 2024</w:t>
      </w:r>
      <w:bookmarkEnd w:id="48"/>
      <w:r w:rsidR="00235AF1" w:rsidRPr="00CD0C90">
        <w:rPr>
          <w:rFonts w:asciiTheme="majorHAnsi" w:hAnsiTheme="majorHAnsi" w:cstheme="majorHAnsi"/>
        </w:rPr>
        <w:t>)</w:t>
      </w:r>
      <w:r w:rsidRPr="00CD0C90">
        <w:rPr>
          <w:rFonts w:asciiTheme="majorHAnsi" w:hAnsiTheme="majorHAnsi" w:cstheme="majorHAnsi"/>
        </w:rPr>
        <w:t xml:space="preserve">. Esta concentración </w:t>
      </w:r>
      <w:r w:rsidR="00235AF1" w:rsidRPr="00CD0C90">
        <w:rPr>
          <w:rFonts w:asciiTheme="majorHAnsi" w:hAnsiTheme="majorHAnsi" w:cstheme="majorHAnsi"/>
        </w:rPr>
        <w:t xml:space="preserve">una </w:t>
      </w:r>
      <w:r w:rsidRPr="00CD0C90">
        <w:rPr>
          <w:rFonts w:asciiTheme="majorHAnsi" w:hAnsiTheme="majorHAnsi" w:cstheme="majorHAnsi"/>
        </w:rPr>
        <w:t xml:space="preserve">constituye la variable comparativa central del caso mexicano: mientras Colombia opera bajo fragmentación multipartidista estructural, México dispuso, desde 2024, de un </w:t>
      </w:r>
      <w:r w:rsidR="001D4B0A" w:rsidRPr="00CD0C90">
        <w:rPr>
          <w:rFonts w:asciiTheme="majorHAnsi" w:hAnsiTheme="majorHAnsi" w:cstheme="majorHAnsi"/>
        </w:rPr>
        <w:t>ejecutivo</w:t>
      </w:r>
      <w:r w:rsidRPr="00CD0C90">
        <w:rPr>
          <w:rFonts w:asciiTheme="majorHAnsi" w:hAnsiTheme="majorHAnsi" w:cstheme="majorHAnsi"/>
        </w:rPr>
        <w:t xml:space="preserve"> con mayoría calificada propia en la cámara baja, lo que redujo </w:t>
      </w:r>
      <w:r w:rsidR="00235AF1" w:rsidRPr="00CD0C90">
        <w:rPr>
          <w:rFonts w:asciiTheme="majorHAnsi" w:hAnsiTheme="majorHAnsi" w:cstheme="majorHAnsi"/>
        </w:rPr>
        <w:t>significativamente</w:t>
      </w:r>
      <w:r w:rsidRPr="00CD0C90">
        <w:rPr>
          <w:rFonts w:asciiTheme="majorHAnsi" w:hAnsiTheme="majorHAnsi" w:cstheme="majorHAnsi"/>
        </w:rPr>
        <w:t xml:space="preserve"> el número de veto players institucionales requerido para aprobar </w:t>
      </w:r>
      <w:r w:rsidR="00235AF1" w:rsidRPr="00CD0C90">
        <w:rPr>
          <w:rFonts w:asciiTheme="majorHAnsi" w:hAnsiTheme="majorHAnsi" w:cstheme="majorHAnsi"/>
        </w:rPr>
        <w:t>cualquier iniciativa</w:t>
      </w:r>
      <w:r w:rsidRPr="00CD0C90">
        <w:rPr>
          <w:rFonts w:asciiTheme="majorHAnsi" w:hAnsiTheme="majorHAnsi" w:cstheme="majorHAnsi"/>
        </w:rPr>
        <w:t>.</w:t>
      </w:r>
    </w:p>
    <w:p w14:paraId="277BF883" w14:textId="50834AC6" w:rsidR="00622B8B" w:rsidRPr="00CD0C90" w:rsidRDefault="00235AF1"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Bajo</w:t>
      </w:r>
      <w:r w:rsidR="00622B8B" w:rsidRPr="00CD0C90">
        <w:rPr>
          <w:rFonts w:asciiTheme="majorHAnsi" w:hAnsiTheme="majorHAnsi" w:cstheme="majorHAnsi"/>
        </w:rPr>
        <w:t xml:space="preserve"> es</w:t>
      </w:r>
      <w:r w:rsidRPr="00CD0C90">
        <w:rPr>
          <w:rFonts w:asciiTheme="majorHAnsi" w:hAnsiTheme="majorHAnsi" w:cstheme="majorHAnsi"/>
        </w:rPr>
        <w:t>t</w:t>
      </w:r>
      <w:r w:rsidR="00622B8B" w:rsidRPr="00CD0C90">
        <w:rPr>
          <w:rFonts w:asciiTheme="majorHAnsi" w:hAnsiTheme="majorHAnsi" w:cstheme="majorHAnsi"/>
        </w:rPr>
        <w:t xml:space="preserve">e respaldo, el </w:t>
      </w:r>
      <w:r w:rsidR="001D4B0A" w:rsidRPr="00CD0C90">
        <w:rPr>
          <w:rFonts w:asciiTheme="majorHAnsi" w:hAnsiTheme="majorHAnsi" w:cstheme="majorHAnsi"/>
        </w:rPr>
        <w:t>ejecutivo</w:t>
      </w:r>
      <w:r w:rsidR="00622B8B" w:rsidRPr="00CD0C90">
        <w:rPr>
          <w:rFonts w:asciiTheme="majorHAnsi" w:hAnsiTheme="majorHAnsi" w:cstheme="majorHAnsi"/>
        </w:rPr>
        <w:t xml:space="preserve"> promovió una reforma </w:t>
      </w:r>
      <w:r w:rsidRPr="00CD0C90">
        <w:rPr>
          <w:rFonts w:asciiTheme="majorHAnsi" w:hAnsiTheme="majorHAnsi" w:cstheme="majorHAnsi"/>
        </w:rPr>
        <w:t>constitucional en</w:t>
      </w:r>
      <w:r w:rsidR="00622B8B" w:rsidRPr="00CD0C90">
        <w:rPr>
          <w:rFonts w:asciiTheme="majorHAnsi" w:hAnsiTheme="majorHAnsi" w:cstheme="majorHAnsi"/>
        </w:rPr>
        <w:t xml:space="preserve"> 2024 (</w:t>
      </w:r>
      <w:bookmarkStart w:id="49" w:name="_Hlk234690270"/>
      <w:r w:rsidR="00622B8B" w:rsidRPr="00CD0C90">
        <w:rPr>
          <w:rFonts w:asciiTheme="majorHAnsi" w:hAnsiTheme="majorHAnsi" w:cstheme="majorHAnsi"/>
        </w:rPr>
        <w:t>Cámara de Diputados,</w:t>
      </w:r>
      <w:bookmarkEnd w:id="49"/>
      <w:r w:rsidRPr="00CD0C90">
        <w:rPr>
          <w:rFonts w:asciiTheme="majorHAnsi" w:hAnsiTheme="majorHAnsi" w:cstheme="majorHAnsi"/>
        </w:rPr>
        <w:t xml:space="preserve"> 2024</w:t>
      </w:r>
      <w:r w:rsidR="00622B8B" w:rsidRPr="00CD0C90">
        <w:rPr>
          <w:rFonts w:asciiTheme="majorHAnsi" w:hAnsiTheme="majorHAnsi" w:cstheme="majorHAnsi"/>
        </w:rPr>
        <w:t>)</w:t>
      </w:r>
      <w:r w:rsidRPr="00CD0C90">
        <w:rPr>
          <w:rFonts w:asciiTheme="majorHAnsi" w:hAnsiTheme="majorHAnsi" w:cstheme="majorHAnsi"/>
        </w:rPr>
        <w:t xml:space="preserve">, que </w:t>
      </w:r>
      <w:r w:rsidR="00622B8B" w:rsidRPr="00CD0C90">
        <w:rPr>
          <w:rFonts w:asciiTheme="majorHAnsi" w:hAnsiTheme="majorHAnsi" w:cstheme="majorHAnsi"/>
        </w:rPr>
        <w:t>estableció que el sector público tendría a su cargo, de manera exclusiva, las áreas estratégicas del sistema eléctrico y de hidrocarburos</w:t>
      </w:r>
      <w:r w:rsidRPr="00CD0C90">
        <w:rPr>
          <w:rFonts w:asciiTheme="majorHAnsi" w:hAnsiTheme="majorHAnsi" w:cstheme="majorHAnsi"/>
        </w:rPr>
        <w:t>, modificando así</w:t>
      </w:r>
      <w:r w:rsidR="00622B8B" w:rsidRPr="00CD0C90">
        <w:rPr>
          <w:rFonts w:asciiTheme="majorHAnsi" w:hAnsiTheme="majorHAnsi" w:cstheme="majorHAnsi"/>
        </w:rPr>
        <w:t xml:space="preserve"> el eje de libre competencia entre agentes públicos y privados introducido por la reforma energética de 2013</w:t>
      </w:r>
      <w:r w:rsidRPr="00CD0C90">
        <w:rPr>
          <w:rFonts w:asciiTheme="majorHAnsi" w:hAnsiTheme="majorHAnsi" w:cstheme="majorHAnsi"/>
        </w:rPr>
        <w:t>,</w:t>
      </w:r>
      <w:r w:rsidR="00622B8B" w:rsidRPr="00CD0C90">
        <w:rPr>
          <w:rFonts w:asciiTheme="majorHAnsi" w:hAnsiTheme="majorHAnsi" w:cstheme="majorHAnsi"/>
        </w:rPr>
        <w:t xml:space="preserve"> y fijó un plazo de 180 días naturales para expedir la legislación secundaria correspondiente. </w:t>
      </w:r>
      <w:r w:rsidRPr="00CD0C90">
        <w:rPr>
          <w:rFonts w:asciiTheme="majorHAnsi" w:hAnsiTheme="majorHAnsi" w:cstheme="majorHAnsi"/>
        </w:rPr>
        <w:t>Durante e</w:t>
      </w:r>
      <w:r w:rsidR="00622B8B" w:rsidRPr="00CD0C90">
        <w:rPr>
          <w:rFonts w:asciiTheme="majorHAnsi" w:hAnsiTheme="majorHAnsi" w:cstheme="majorHAnsi"/>
        </w:rPr>
        <w:t>se plazo</w:t>
      </w:r>
      <w:r w:rsidRPr="00CD0C90">
        <w:rPr>
          <w:rFonts w:asciiTheme="majorHAnsi" w:hAnsiTheme="majorHAnsi" w:cstheme="majorHAnsi"/>
        </w:rPr>
        <w:t xml:space="preserve">, </w:t>
      </w:r>
      <w:r w:rsidR="00622B8B" w:rsidRPr="00CD0C90">
        <w:rPr>
          <w:rFonts w:asciiTheme="majorHAnsi" w:hAnsiTheme="majorHAnsi" w:cstheme="majorHAnsi"/>
        </w:rPr>
        <w:t xml:space="preserve">las comisiones unidas de Energía y Estudios </w:t>
      </w:r>
      <w:r w:rsidR="001D4B0A" w:rsidRPr="00CD0C90">
        <w:rPr>
          <w:rFonts w:asciiTheme="majorHAnsi" w:hAnsiTheme="majorHAnsi" w:cstheme="majorHAnsi"/>
        </w:rPr>
        <w:t>legislativo</w:t>
      </w:r>
      <w:r w:rsidR="00622B8B" w:rsidRPr="00CD0C90">
        <w:rPr>
          <w:rFonts w:asciiTheme="majorHAnsi" w:hAnsiTheme="majorHAnsi" w:cstheme="majorHAnsi"/>
        </w:rPr>
        <w:t xml:space="preserve">s del Senado aprobaron ocho leyes secundarias </w:t>
      </w:r>
      <w:r w:rsidRPr="00CD0C90">
        <w:rPr>
          <w:rFonts w:asciiTheme="majorHAnsi" w:hAnsiTheme="majorHAnsi" w:cstheme="majorHAnsi"/>
        </w:rPr>
        <w:t>en</w:t>
      </w:r>
      <w:r w:rsidR="00622B8B" w:rsidRPr="00CD0C90">
        <w:rPr>
          <w:rFonts w:asciiTheme="majorHAnsi" w:hAnsiTheme="majorHAnsi" w:cstheme="majorHAnsi"/>
        </w:rPr>
        <w:t xml:space="preserve"> 2025, la Cámara de Diputados lo aprobó en lo general el 12 de marzo de 2025 con 332 votos a favor y 83 en contra, y el conjunto se publicó en el DOF el 18 de marzo de 2025 (</w:t>
      </w:r>
      <w:bookmarkStart w:id="50" w:name="_Hlk234690355"/>
      <w:r w:rsidR="00622B8B" w:rsidRPr="00CD0C90">
        <w:rPr>
          <w:rFonts w:asciiTheme="majorHAnsi" w:hAnsiTheme="majorHAnsi" w:cstheme="majorHAnsi"/>
        </w:rPr>
        <w:t>La Jornada, 12 de marzo de 2025</w:t>
      </w:r>
      <w:bookmarkEnd w:id="50"/>
      <w:r w:rsidR="00622B8B" w:rsidRPr="00CD0C90">
        <w:rPr>
          <w:rFonts w:asciiTheme="majorHAnsi" w:hAnsiTheme="majorHAnsi" w:cstheme="majorHAnsi"/>
        </w:rPr>
        <w:t>)</w:t>
      </w:r>
      <w:r w:rsidRPr="00CD0C90">
        <w:rPr>
          <w:rFonts w:asciiTheme="majorHAnsi" w:hAnsiTheme="majorHAnsi" w:cstheme="majorHAnsi"/>
        </w:rPr>
        <w:t>. En menos de 5 meses se</w:t>
      </w:r>
      <w:r w:rsidR="00622B8B" w:rsidRPr="00CD0C90">
        <w:rPr>
          <w:rFonts w:asciiTheme="majorHAnsi" w:hAnsiTheme="majorHAnsi" w:cstheme="majorHAnsi"/>
        </w:rPr>
        <w:t xml:space="preserve"> la </w:t>
      </w:r>
      <w:r w:rsidRPr="00CD0C90">
        <w:rPr>
          <w:rFonts w:asciiTheme="majorHAnsi" w:hAnsiTheme="majorHAnsi" w:cstheme="majorHAnsi"/>
        </w:rPr>
        <w:t>publicó</w:t>
      </w:r>
      <w:r w:rsidR="00622B8B" w:rsidRPr="00CD0C90">
        <w:rPr>
          <w:rFonts w:asciiTheme="majorHAnsi" w:hAnsiTheme="majorHAnsi" w:cstheme="majorHAnsi"/>
        </w:rPr>
        <w:t xml:space="preserve"> la reforma constitucional y </w:t>
      </w:r>
      <w:r w:rsidRPr="00CD0C90">
        <w:rPr>
          <w:rFonts w:asciiTheme="majorHAnsi" w:hAnsiTheme="majorHAnsi" w:cstheme="majorHAnsi"/>
        </w:rPr>
        <w:t>se</w:t>
      </w:r>
      <w:r w:rsidR="00622B8B" w:rsidRPr="00CD0C90">
        <w:rPr>
          <w:rFonts w:asciiTheme="majorHAnsi" w:hAnsiTheme="majorHAnsi" w:cstheme="majorHAnsi"/>
        </w:rPr>
        <w:t xml:space="preserve"> promulg</w:t>
      </w:r>
      <w:r w:rsidRPr="00CD0C90">
        <w:rPr>
          <w:rFonts w:asciiTheme="majorHAnsi" w:hAnsiTheme="majorHAnsi" w:cstheme="majorHAnsi"/>
        </w:rPr>
        <w:t>ó</w:t>
      </w:r>
      <w:r w:rsidR="00622B8B" w:rsidRPr="00CD0C90">
        <w:rPr>
          <w:rFonts w:asciiTheme="majorHAnsi" w:hAnsiTheme="majorHAnsi" w:cstheme="majorHAnsi"/>
        </w:rPr>
        <w:t xml:space="preserve"> la legislación secundaria completa, un</w:t>
      </w:r>
      <w:r w:rsidRPr="00CD0C90">
        <w:rPr>
          <w:rFonts w:asciiTheme="majorHAnsi" w:hAnsiTheme="majorHAnsi" w:cstheme="majorHAnsi"/>
        </w:rPr>
        <w:t>a velocidad d</w:t>
      </w:r>
      <w:r w:rsidR="00622B8B" w:rsidRPr="00CD0C90">
        <w:rPr>
          <w:rFonts w:asciiTheme="majorHAnsi" w:hAnsiTheme="majorHAnsi" w:cstheme="majorHAnsi"/>
        </w:rPr>
        <w:t xml:space="preserve">e tramitación </w:t>
      </w:r>
      <w:r w:rsidRPr="00CD0C90">
        <w:rPr>
          <w:rFonts w:asciiTheme="majorHAnsi" w:hAnsiTheme="majorHAnsi" w:cstheme="majorHAnsi"/>
        </w:rPr>
        <w:t xml:space="preserve">muy rápida y </w:t>
      </w:r>
      <w:r w:rsidR="00622B8B" w:rsidRPr="00CD0C90">
        <w:rPr>
          <w:rFonts w:asciiTheme="majorHAnsi" w:hAnsiTheme="majorHAnsi" w:cstheme="majorHAnsi"/>
        </w:rPr>
        <w:t xml:space="preserve">consistente con lo que </w:t>
      </w:r>
      <w:r w:rsidRPr="00CD0C90">
        <w:rPr>
          <w:rFonts w:asciiTheme="majorHAnsi" w:hAnsiTheme="majorHAnsi" w:cstheme="majorHAnsi"/>
        </w:rPr>
        <w:t>en la teoría</w:t>
      </w:r>
      <w:r w:rsidR="00622B8B" w:rsidRPr="00CD0C90">
        <w:rPr>
          <w:rFonts w:asciiTheme="majorHAnsi" w:hAnsiTheme="majorHAnsi" w:cstheme="majorHAnsi"/>
        </w:rPr>
        <w:t xml:space="preserve"> de veto players </w:t>
      </w:r>
      <w:r w:rsidRPr="00CD0C90">
        <w:rPr>
          <w:rFonts w:asciiTheme="majorHAnsi" w:hAnsiTheme="majorHAnsi" w:cstheme="majorHAnsi"/>
        </w:rPr>
        <w:t>se señala</w:t>
      </w:r>
      <w:r w:rsidR="00622B8B" w:rsidRPr="00CD0C90">
        <w:rPr>
          <w:rFonts w:asciiTheme="majorHAnsi" w:hAnsiTheme="majorHAnsi" w:cstheme="majorHAnsi"/>
        </w:rPr>
        <w:t xml:space="preserve"> para </w:t>
      </w:r>
      <w:r w:rsidR="00622B8B" w:rsidRPr="00CD0C90">
        <w:rPr>
          <w:rFonts w:asciiTheme="majorHAnsi" w:hAnsiTheme="majorHAnsi" w:cstheme="majorHAnsi"/>
        </w:rPr>
        <w:lastRenderedPageBreak/>
        <w:t>sistemas en los que el número de actores con capacidad de bloqueo efectivo se reduce a uno solo: el bloque gobernante mismo.</w:t>
      </w:r>
    </w:p>
    <w:p w14:paraId="59F982B8" w14:textId="4D8F50F8" w:rsidR="00622B8B" w:rsidRPr="00CD0C90" w:rsidRDefault="00622B8B"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 xml:space="preserve">Entre las ocho leyes secundarias destaca la Ley del Sector Eléctrico, que sustituyó a la Ley de la Industria Eléctrica de 2021 y estableció que la Comisión Federal de Electricidad (CFE) debe mantener al menos 54% del promedio anual de energía inyectada a la red, dejando 46% a la participación privada, </w:t>
      </w:r>
      <w:r w:rsidR="00235AF1" w:rsidRPr="00CD0C90">
        <w:rPr>
          <w:rFonts w:asciiTheme="majorHAnsi" w:hAnsiTheme="majorHAnsi" w:cstheme="majorHAnsi"/>
        </w:rPr>
        <w:t>e incorporando</w:t>
      </w:r>
      <w:r w:rsidRPr="00CD0C90">
        <w:rPr>
          <w:rFonts w:asciiTheme="majorHAnsi" w:hAnsiTheme="majorHAnsi" w:cstheme="majorHAnsi"/>
        </w:rPr>
        <w:t xml:space="preserve"> por primera vez el concepto de "justicia energética" (</w:t>
      </w:r>
      <w:bookmarkStart w:id="51" w:name="_Hlk234690526"/>
      <w:r w:rsidRPr="00CD0C90">
        <w:rPr>
          <w:rFonts w:asciiTheme="majorHAnsi" w:hAnsiTheme="majorHAnsi" w:cstheme="majorHAnsi"/>
        </w:rPr>
        <w:t>Reporte Integralia, 7 de abril de 2025</w:t>
      </w:r>
      <w:bookmarkEnd w:id="51"/>
      <w:r w:rsidRPr="00CD0C90">
        <w:rPr>
          <w:rFonts w:asciiTheme="majorHAnsi" w:hAnsiTheme="majorHAnsi" w:cstheme="majorHAnsi"/>
        </w:rPr>
        <w:t>)</w:t>
      </w:r>
      <w:r w:rsidR="00235AF1" w:rsidRPr="00CD0C90">
        <w:rPr>
          <w:rFonts w:asciiTheme="majorHAnsi" w:hAnsiTheme="majorHAnsi" w:cstheme="majorHAnsi"/>
        </w:rPr>
        <w:t>. L</w:t>
      </w:r>
      <w:r w:rsidRPr="00CD0C90">
        <w:rPr>
          <w:rFonts w:asciiTheme="majorHAnsi" w:hAnsiTheme="majorHAnsi" w:cstheme="majorHAnsi"/>
        </w:rPr>
        <w:t>a Ley de la Comisión Nacional de Energía</w:t>
      </w:r>
      <w:r w:rsidR="00235AF1" w:rsidRPr="00CD0C90">
        <w:rPr>
          <w:rFonts w:asciiTheme="majorHAnsi" w:hAnsiTheme="majorHAnsi" w:cstheme="majorHAnsi"/>
        </w:rPr>
        <w:t xml:space="preserve"> </w:t>
      </w:r>
      <w:r w:rsidRPr="00CD0C90">
        <w:rPr>
          <w:rFonts w:asciiTheme="majorHAnsi" w:hAnsiTheme="majorHAnsi" w:cstheme="majorHAnsi"/>
        </w:rPr>
        <w:t>de 2025, fusionó la CRE y la Comisión Nacional de Hidrocarburos en un nuevo órgano</w:t>
      </w:r>
      <w:r w:rsidR="00235AF1" w:rsidRPr="00CD0C90">
        <w:rPr>
          <w:rFonts w:asciiTheme="majorHAnsi" w:hAnsiTheme="majorHAnsi" w:cstheme="majorHAnsi"/>
        </w:rPr>
        <w:t xml:space="preserve">, </w:t>
      </w:r>
      <w:r w:rsidRPr="00CD0C90">
        <w:rPr>
          <w:rFonts w:asciiTheme="majorHAnsi" w:hAnsiTheme="majorHAnsi" w:cstheme="majorHAnsi"/>
        </w:rPr>
        <w:t>la Comisión Nacional de Energía (CNE)</w:t>
      </w:r>
      <w:r w:rsidR="00235AF1" w:rsidRPr="00CD0C90">
        <w:rPr>
          <w:rFonts w:asciiTheme="majorHAnsi" w:hAnsiTheme="majorHAnsi" w:cstheme="majorHAnsi"/>
        </w:rPr>
        <w:t xml:space="preserve">, </w:t>
      </w:r>
      <w:r w:rsidRPr="00CD0C90">
        <w:rPr>
          <w:rFonts w:asciiTheme="majorHAnsi" w:hAnsiTheme="majorHAnsi" w:cstheme="majorHAnsi"/>
        </w:rPr>
        <w:t xml:space="preserve">integrado a la estructura de la SENER, con una Dirección General nombrada y removida libremente por el </w:t>
      </w:r>
      <w:r w:rsidR="001D4B0A" w:rsidRPr="00CD0C90">
        <w:rPr>
          <w:rFonts w:asciiTheme="majorHAnsi" w:hAnsiTheme="majorHAnsi" w:cstheme="majorHAnsi"/>
        </w:rPr>
        <w:t>ejecutivo</w:t>
      </w:r>
      <w:r w:rsidRPr="00CD0C90">
        <w:rPr>
          <w:rFonts w:asciiTheme="majorHAnsi" w:hAnsiTheme="majorHAnsi" w:cstheme="majorHAnsi"/>
        </w:rPr>
        <w:t xml:space="preserve"> Federal y ratificada por el Senado, en sustitución del modelo de presidencia colegiada y secretaría técnica que caracterizaba a los órganos reguladores autónomos previos (</w:t>
      </w:r>
      <w:bookmarkStart w:id="52" w:name="_Hlk234690574"/>
      <w:r w:rsidRPr="00CD0C90">
        <w:rPr>
          <w:rFonts w:asciiTheme="majorHAnsi" w:hAnsiTheme="majorHAnsi" w:cstheme="majorHAnsi"/>
        </w:rPr>
        <w:t>Jones Day, 12 de mayo de 2025</w:t>
      </w:r>
      <w:bookmarkEnd w:id="52"/>
      <w:r w:rsidRPr="00CD0C90">
        <w:rPr>
          <w:rFonts w:asciiTheme="majorHAnsi" w:hAnsiTheme="majorHAnsi" w:cstheme="majorHAnsi"/>
        </w:rPr>
        <w:t xml:space="preserve">). Este cambio institucional representa una recentralización administrativa explícita del sector energético dentro del Poder </w:t>
      </w:r>
      <w:r w:rsidR="001D4B0A" w:rsidRPr="00CD0C90">
        <w:rPr>
          <w:rFonts w:asciiTheme="majorHAnsi" w:hAnsiTheme="majorHAnsi" w:cstheme="majorHAnsi"/>
        </w:rPr>
        <w:t>ejecutivo</w:t>
      </w:r>
      <w:r w:rsidRPr="00CD0C90">
        <w:rPr>
          <w:rFonts w:asciiTheme="majorHAnsi" w:hAnsiTheme="majorHAnsi" w:cstheme="majorHAnsi"/>
        </w:rPr>
        <w:t>.</w:t>
      </w:r>
    </w:p>
    <w:p w14:paraId="525D469F" w14:textId="499022A8" w:rsidR="00622B8B" w:rsidRPr="00CD0C90" w:rsidRDefault="00622B8B"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 xml:space="preserve">En </w:t>
      </w:r>
      <w:r w:rsidR="00235AF1" w:rsidRPr="00CD0C90">
        <w:rPr>
          <w:rFonts w:asciiTheme="majorHAnsi" w:hAnsiTheme="majorHAnsi" w:cstheme="majorHAnsi"/>
        </w:rPr>
        <w:t>cuanto</w:t>
      </w:r>
      <w:r w:rsidRPr="00CD0C90">
        <w:rPr>
          <w:rFonts w:asciiTheme="majorHAnsi" w:hAnsiTheme="majorHAnsi" w:cstheme="majorHAnsi"/>
        </w:rPr>
        <w:t xml:space="preserve"> </w:t>
      </w:r>
      <w:r w:rsidR="00235AF1" w:rsidRPr="00CD0C90">
        <w:rPr>
          <w:rFonts w:asciiTheme="majorHAnsi" w:hAnsiTheme="majorHAnsi" w:cstheme="majorHAnsi"/>
        </w:rPr>
        <w:t>a</w:t>
      </w:r>
      <w:r w:rsidRPr="00CD0C90">
        <w:rPr>
          <w:rFonts w:asciiTheme="majorHAnsi" w:hAnsiTheme="majorHAnsi" w:cstheme="majorHAnsi"/>
        </w:rPr>
        <w:t xml:space="preserve"> transición energética, la Ley de Transición Energética de 2015 y la Ley General de Cambio Climático de 2012 fijaron la meta de 35% de generación eléctrica limpia para 2024. </w:t>
      </w:r>
      <w:r w:rsidR="00235AF1" w:rsidRPr="00CD0C90">
        <w:rPr>
          <w:rFonts w:asciiTheme="majorHAnsi" w:hAnsiTheme="majorHAnsi" w:cstheme="majorHAnsi"/>
        </w:rPr>
        <w:t>No obstante, e</w:t>
      </w:r>
      <w:r w:rsidRPr="00CD0C90">
        <w:rPr>
          <w:rFonts w:asciiTheme="majorHAnsi" w:hAnsiTheme="majorHAnsi" w:cstheme="majorHAnsi"/>
        </w:rPr>
        <w:t>sa meta no se cumplió: la generación limpia alcanzó 23,4% según la SENER, mientras el Instituto Mexicano para la Competitividad calculó 22,2% —12,8 puntos por debajo de la meta legal— (</w:t>
      </w:r>
      <w:bookmarkStart w:id="53" w:name="_Hlk234690652"/>
      <w:r w:rsidRPr="00CD0C90">
        <w:rPr>
          <w:rFonts w:asciiTheme="majorHAnsi" w:hAnsiTheme="majorHAnsi" w:cstheme="majorHAnsi"/>
        </w:rPr>
        <w:t xml:space="preserve">El Economista, 2025; Energy21, 2025). </w:t>
      </w:r>
      <w:bookmarkEnd w:id="53"/>
      <w:r w:rsidR="00235AF1" w:rsidRPr="00CD0C90">
        <w:rPr>
          <w:rFonts w:asciiTheme="majorHAnsi" w:hAnsiTheme="majorHAnsi" w:cstheme="majorHAnsi"/>
        </w:rPr>
        <w:t>Frente a esto</w:t>
      </w:r>
      <w:r w:rsidRPr="00CD0C90">
        <w:rPr>
          <w:rFonts w:asciiTheme="majorHAnsi" w:hAnsiTheme="majorHAnsi" w:cstheme="majorHAnsi"/>
        </w:rPr>
        <w:t>, el Plan de Desarrollo del Sector Eléctrico 2025-2039 fijó una meta de 38% para 2030 (</w:t>
      </w:r>
      <w:bookmarkStart w:id="54" w:name="_Hlk234690685"/>
      <w:r w:rsidRPr="00CD0C90">
        <w:rPr>
          <w:rFonts w:asciiTheme="majorHAnsi" w:hAnsiTheme="majorHAnsi" w:cstheme="majorHAnsi"/>
        </w:rPr>
        <w:t>La Jornada, 2025</w:t>
      </w:r>
      <w:bookmarkEnd w:id="54"/>
      <w:r w:rsidR="00235AF1" w:rsidRPr="00CD0C90">
        <w:rPr>
          <w:rFonts w:asciiTheme="majorHAnsi" w:hAnsiTheme="majorHAnsi" w:cstheme="majorHAnsi"/>
        </w:rPr>
        <w:t>).</w:t>
      </w:r>
      <w:r w:rsidR="00265FFE" w:rsidRPr="00CD0C90">
        <w:rPr>
          <w:rFonts w:asciiTheme="majorHAnsi" w:hAnsiTheme="majorHAnsi" w:cstheme="majorHAnsi"/>
        </w:rPr>
        <w:t xml:space="preserve"> </w:t>
      </w:r>
      <w:r w:rsidRPr="00CD0C90">
        <w:rPr>
          <w:rFonts w:asciiTheme="majorHAnsi" w:hAnsiTheme="majorHAnsi" w:cstheme="majorHAnsi"/>
        </w:rPr>
        <w:t>El Energy Transition Index del WEF ubicó a México en el puesto 55 de 118 en 2025 y reportó una nueva caída al puesto 59 de 120 en 2026, por debajo de Brasil (15) y Chile (21)</w:t>
      </w:r>
      <w:r w:rsidR="00235AF1" w:rsidRPr="00CD0C90">
        <w:rPr>
          <w:rFonts w:asciiTheme="majorHAnsi" w:hAnsiTheme="majorHAnsi" w:cstheme="majorHAnsi"/>
        </w:rPr>
        <w:t xml:space="preserve"> </w:t>
      </w:r>
      <w:r w:rsidRPr="00CD0C90">
        <w:rPr>
          <w:rFonts w:asciiTheme="majorHAnsi" w:hAnsiTheme="majorHAnsi" w:cstheme="majorHAnsi"/>
        </w:rPr>
        <w:t>(IMER Noticias, 2026</w:t>
      </w:r>
      <w:r w:rsidR="00235AF1" w:rsidRPr="00CD0C90">
        <w:rPr>
          <w:rFonts w:asciiTheme="majorHAnsi" w:hAnsiTheme="majorHAnsi" w:cstheme="majorHAnsi"/>
        </w:rPr>
        <w:t>).</w:t>
      </w:r>
    </w:p>
    <w:p w14:paraId="5CFE1C71" w14:textId="77777777" w:rsidR="0099186C" w:rsidRPr="00CD0C90" w:rsidRDefault="00622B8B"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 xml:space="preserve">En </w:t>
      </w:r>
      <w:r w:rsidR="0099186C" w:rsidRPr="00CD0C90">
        <w:rPr>
          <w:rFonts w:asciiTheme="majorHAnsi" w:hAnsiTheme="majorHAnsi" w:cstheme="majorHAnsi"/>
        </w:rPr>
        <w:t xml:space="preserve">cuanto a su </w:t>
      </w:r>
      <w:r w:rsidRPr="00CD0C90">
        <w:rPr>
          <w:rFonts w:asciiTheme="majorHAnsi" w:hAnsiTheme="majorHAnsi" w:cstheme="majorHAnsi"/>
        </w:rPr>
        <w:t xml:space="preserve">capacidad técnica legislativa, México no cuenta con un órgano único, no partidista </w:t>
      </w:r>
      <w:r w:rsidR="0099186C" w:rsidRPr="00CD0C90">
        <w:rPr>
          <w:rFonts w:asciiTheme="majorHAnsi" w:hAnsiTheme="majorHAnsi" w:cstheme="majorHAnsi"/>
        </w:rPr>
        <w:t>como</w:t>
      </w:r>
      <w:r w:rsidRPr="00CD0C90">
        <w:rPr>
          <w:rFonts w:asciiTheme="majorHAnsi" w:hAnsiTheme="majorHAnsi" w:cstheme="majorHAnsi"/>
        </w:rPr>
        <w:t xml:space="preserve"> la BCN chilena o a la CONLE brasileña</w:t>
      </w:r>
      <w:r w:rsidR="0099186C" w:rsidRPr="00CD0C90">
        <w:rPr>
          <w:rFonts w:asciiTheme="majorHAnsi" w:hAnsiTheme="majorHAnsi" w:cstheme="majorHAnsi"/>
        </w:rPr>
        <w:t>, sino que esta</w:t>
      </w:r>
      <w:r w:rsidRPr="00CD0C90">
        <w:rPr>
          <w:rFonts w:asciiTheme="majorHAnsi" w:hAnsiTheme="majorHAnsi" w:cstheme="majorHAnsi"/>
        </w:rPr>
        <w:t xml:space="preserve"> función se distribuye entre el Instituto Belisario Domínguez (IBD) del Senado y el Centro de Estudios de Derecho e Investigaciones Parlamentarias (CEDIP) de la Cámara de Diputados, que emite opiniones consultivas</w:t>
      </w:r>
      <w:r w:rsidR="0099186C" w:rsidRPr="00CD0C90">
        <w:rPr>
          <w:rFonts w:asciiTheme="majorHAnsi" w:hAnsiTheme="majorHAnsi" w:cstheme="majorHAnsi"/>
        </w:rPr>
        <w:t xml:space="preserve">, pero </w:t>
      </w:r>
      <w:r w:rsidRPr="00CD0C90">
        <w:rPr>
          <w:rFonts w:asciiTheme="majorHAnsi" w:hAnsiTheme="majorHAnsi" w:cstheme="majorHAnsi"/>
        </w:rPr>
        <w:t>no vinculantes</w:t>
      </w:r>
      <w:r w:rsidR="0099186C" w:rsidRPr="00CD0C90">
        <w:rPr>
          <w:rFonts w:asciiTheme="majorHAnsi" w:hAnsiTheme="majorHAnsi" w:cstheme="majorHAnsi"/>
        </w:rPr>
        <w:t>,</w:t>
      </w:r>
      <w:r w:rsidRPr="00CD0C90">
        <w:rPr>
          <w:rFonts w:asciiTheme="majorHAnsi" w:hAnsiTheme="majorHAnsi" w:cstheme="majorHAnsi"/>
        </w:rPr>
        <w:t xml:space="preserve"> sobre la calidad técnica de las iniciativas.</w:t>
      </w:r>
    </w:p>
    <w:p w14:paraId="3933C1F8" w14:textId="77777777" w:rsidR="0099186C" w:rsidRPr="00CD0C90" w:rsidRDefault="00622B8B"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Desde el punto de vista teórico, durante la era del partido hegemónico, la subordinación del</w:t>
      </w:r>
      <w:r w:rsidR="0099186C" w:rsidRPr="00CD0C90">
        <w:rPr>
          <w:rFonts w:asciiTheme="majorHAnsi" w:hAnsiTheme="majorHAnsi" w:cstheme="majorHAnsi"/>
        </w:rPr>
        <w:t xml:space="preserve"> </w:t>
      </w:r>
      <w:r w:rsidRPr="00CD0C90">
        <w:rPr>
          <w:rFonts w:asciiTheme="majorHAnsi" w:hAnsiTheme="majorHAnsi" w:cstheme="majorHAnsi"/>
        </w:rPr>
        <w:t xml:space="preserve">Congreso al </w:t>
      </w:r>
      <w:r w:rsidR="001D4B0A" w:rsidRPr="00CD0C90">
        <w:rPr>
          <w:rFonts w:asciiTheme="majorHAnsi" w:hAnsiTheme="majorHAnsi" w:cstheme="majorHAnsi"/>
        </w:rPr>
        <w:t>ejecutivo</w:t>
      </w:r>
      <w:r w:rsidRPr="00CD0C90">
        <w:rPr>
          <w:rFonts w:asciiTheme="majorHAnsi" w:hAnsiTheme="majorHAnsi" w:cstheme="majorHAnsi"/>
        </w:rPr>
        <w:t xml:space="preserve"> se explicaba</w:t>
      </w:r>
      <w:r w:rsidR="0099186C" w:rsidRPr="00CD0C90">
        <w:rPr>
          <w:rFonts w:asciiTheme="majorHAnsi" w:hAnsiTheme="majorHAnsi" w:cstheme="majorHAnsi"/>
        </w:rPr>
        <w:t xml:space="preserve"> más</w:t>
      </w:r>
      <w:r w:rsidRPr="00CD0C90">
        <w:rPr>
          <w:rFonts w:asciiTheme="majorHAnsi" w:hAnsiTheme="majorHAnsi" w:cstheme="majorHAnsi"/>
        </w:rPr>
        <w:t xml:space="preserve"> por factores </w:t>
      </w:r>
      <w:r w:rsidR="0099186C" w:rsidRPr="00CD0C90">
        <w:rPr>
          <w:rFonts w:asciiTheme="majorHAnsi" w:hAnsiTheme="majorHAnsi" w:cstheme="majorHAnsi"/>
        </w:rPr>
        <w:t xml:space="preserve">no </w:t>
      </w:r>
      <w:r w:rsidRPr="00CD0C90">
        <w:rPr>
          <w:rFonts w:asciiTheme="majorHAnsi" w:hAnsiTheme="majorHAnsi" w:cstheme="majorHAnsi"/>
        </w:rPr>
        <w:t>constitucionales que por el diseño institucional</w:t>
      </w:r>
      <w:r w:rsidR="0099186C" w:rsidRPr="00CD0C90">
        <w:rPr>
          <w:rFonts w:asciiTheme="majorHAnsi" w:hAnsiTheme="majorHAnsi" w:cstheme="majorHAnsi"/>
        </w:rPr>
        <w:t xml:space="preserve"> Carpizo (1978), Weldon (1997) y Casar (1996)</w:t>
      </w:r>
      <w:r w:rsidRPr="00CD0C90">
        <w:rPr>
          <w:rFonts w:asciiTheme="majorHAnsi" w:hAnsiTheme="majorHAnsi" w:cstheme="majorHAnsi"/>
        </w:rPr>
        <w:t xml:space="preserve">. Nacif (2004) analizó cómo, tras el fin del gobierno unificado en 1997, la fuente del cambio en las políticas públicas se trasladó del </w:t>
      </w:r>
      <w:r w:rsidR="001D4B0A" w:rsidRPr="00CD0C90">
        <w:rPr>
          <w:rFonts w:asciiTheme="majorHAnsi" w:hAnsiTheme="majorHAnsi" w:cstheme="majorHAnsi"/>
        </w:rPr>
        <w:t>ejecutivo</w:t>
      </w:r>
      <w:r w:rsidRPr="00CD0C90">
        <w:rPr>
          <w:rFonts w:asciiTheme="majorHAnsi" w:hAnsiTheme="majorHAnsi" w:cstheme="majorHAnsi"/>
        </w:rPr>
        <w:t xml:space="preserve"> al Congreso, en </w:t>
      </w:r>
      <w:r w:rsidR="0099186C" w:rsidRPr="00CD0C90">
        <w:rPr>
          <w:rFonts w:asciiTheme="majorHAnsi" w:hAnsiTheme="majorHAnsi" w:cstheme="majorHAnsi"/>
        </w:rPr>
        <w:t>el</w:t>
      </w:r>
      <w:r w:rsidRPr="00CD0C90">
        <w:rPr>
          <w:rFonts w:asciiTheme="majorHAnsi" w:hAnsiTheme="majorHAnsi" w:cstheme="majorHAnsi"/>
        </w:rPr>
        <w:t xml:space="preserve"> periodo </w:t>
      </w:r>
      <w:r w:rsidR="0099186C" w:rsidRPr="00CD0C90">
        <w:rPr>
          <w:rFonts w:asciiTheme="majorHAnsi" w:hAnsiTheme="majorHAnsi" w:cstheme="majorHAnsi"/>
        </w:rPr>
        <w:t>del</w:t>
      </w:r>
      <w:r w:rsidRPr="00CD0C90">
        <w:rPr>
          <w:rFonts w:asciiTheme="majorHAnsi" w:hAnsiTheme="majorHAnsi" w:cstheme="majorHAnsi"/>
        </w:rPr>
        <w:t xml:space="preserve"> "gobierno dividido" (</w:t>
      </w:r>
      <w:bookmarkStart w:id="55" w:name="_Hlk234690914"/>
      <w:r w:rsidRPr="00CD0C90">
        <w:rPr>
          <w:rFonts w:asciiTheme="majorHAnsi" w:hAnsiTheme="majorHAnsi" w:cstheme="majorHAnsi"/>
        </w:rPr>
        <w:t xml:space="preserve">Nacif, 2004). </w:t>
      </w:r>
      <w:bookmarkEnd w:id="55"/>
      <w:r w:rsidR="0099186C" w:rsidRPr="00CD0C90">
        <w:rPr>
          <w:rFonts w:asciiTheme="majorHAnsi" w:hAnsiTheme="majorHAnsi" w:cstheme="majorHAnsi"/>
        </w:rPr>
        <w:t>S</w:t>
      </w:r>
      <w:r w:rsidRPr="00CD0C90">
        <w:rPr>
          <w:rFonts w:asciiTheme="majorHAnsi" w:hAnsiTheme="majorHAnsi" w:cstheme="majorHAnsi"/>
        </w:rPr>
        <w:t xml:space="preserve">in embargo, el retorno de la mayoría legislativa al </w:t>
      </w:r>
      <w:r w:rsidR="001D4B0A" w:rsidRPr="00CD0C90">
        <w:rPr>
          <w:rFonts w:asciiTheme="majorHAnsi" w:hAnsiTheme="majorHAnsi" w:cstheme="majorHAnsi"/>
        </w:rPr>
        <w:t>ejecutivo</w:t>
      </w:r>
      <w:r w:rsidRPr="00CD0C90">
        <w:rPr>
          <w:rFonts w:asciiTheme="majorHAnsi" w:hAnsiTheme="majorHAnsi" w:cstheme="majorHAnsi"/>
        </w:rPr>
        <w:t xml:space="preserve"> a partir de 2018</w:t>
      </w:r>
      <w:r w:rsidR="0099186C" w:rsidRPr="00CD0C90">
        <w:rPr>
          <w:rFonts w:asciiTheme="majorHAnsi" w:hAnsiTheme="majorHAnsi" w:cstheme="majorHAnsi"/>
        </w:rPr>
        <w:t xml:space="preserve">, </w:t>
      </w:r>
      <w:r w:rsidRPr="00CD0C90">
        <w:rPr>
          <w:rFonts w:asciiTheme="majorHAnsi" w:hAnsiTheme="majorHAnsi" w:cstheme="majorHAnsi"/>
        </w:rPr>
        <w:t>ampliada con la mayoría calificada de 2024</w:t>
      </w:r>
      <w:r w:rsidR="0099186C" w:rsidRPr="00CD0C90">
        <w:rPr>
          <w:rFonts w:asciiTheme="majorHAnsi" w:hAnsiTheme="majorHAnsi" w:cstheme="majorHAnsi"/>
        </w:rPr>
        <w:t>,</w:t>
      </w:r>
      <w:r w:rsidRPr="00CD0C90">
        <w:rPr>
          <w:rFonts w:asciiTheme="majorHAnsi" w:hAnsiTheme="majorHAnsi" w:cstheme="majorHAnsi"/>
        </w:rPr>
        <w:t xml:space="preserve"> no reprodujo el patrón cooperativo del periodo de partido hegemónico, sino</w:t>
      </w:r>
      <w:r w:rsidR="0099186C" w:rsidRPr="00CD0C90">
        <w:rPr>
          <w:rFonts w:asciiTheme="majorHAnsi" w:hAnsiTheme="majorHAnsi" w:cstheme="majorHAnsi"/>
        </w:rPr>
        <w:t xml:space="preserve"> que sufrió</w:t>
      </w:r>
      <w:r w:rsidRPr="00CD0C90">
        <w:rPr>
          <w:rFonts w:asciiTheme="majorHAnsi" w:hAnsiTheme="majorHAnsi" w:cstheme="majorHAnsi"/>
        </w:rPr>
        <w:t xml:space="preserve"> una dinámica de "confrontación directa" hacia el Congreso y la Suprema Corte, a pesar de contar con mayorías absolutas en ambas cámaras (</w:t>
      </w:r>
      <w:bookmarkStart w:id="56" w:name="_Hlk234690956"/>
      <w:r w:rsidRPr="00CD0C90">
        <w:rPr>
          <w:rFonts w:asciiTheme="majorHAnsi" w:hAnsiTheme="majorHAnsi" w:cstheme="majorHAnsi"/>
        </w:rPr>
        <w:t>Foro Internacional, 2025</w:t>
      </w:r>
      <w:bookmarkEnd w:id="56"/>
      <w:r w:rsidRPr="00CD0C90">
        <w:rPr>
          <w:rFonts w:asciiTheme="majorHAnsi" w:hAnsiTheme="majorHAnsi" w:cstheme="majorHAnsi"/>
        </w:rPr>
        <w:t xml:space="preserve">). </w:t>
      </w:r>
    </w:p>
    <w:p w14:paraId="4AE13556" w14:textId="27E0EAB6" w:rsidR="00FC408E" w:rsidRPr="00CD0C90" w:rsidRDefault="0099186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 xml:space="preserve">En el caso de México, existen unos </w:t>
      </w:r>
      <w:r w:rsidR="00622B8B" w:rsidRPr="00CD0C90">
        <w:rPr>
          <w:rFonts w:asciiTheme="majorHAnsi" w:hAnsiTheme="majorHAnsi" w:cstheme="majorHAnsi"/>
        </w:rPr>
        <w:t>"veto players mínimos"</w:t>
      </w:r>
      <w:r w:rsidRPr="00CD0C90">
        <w:rPr>
          <w:rFonts w:asciiTheme="majorHAnsi" w:hAnsiTheme="majorHAnsi" w:cstheme="majorHAnsi"/>
        </w:rPr>
        <w:t xml:space="preserve"> (Tsebelis, 2002),</w:t>
      </w:r>
      <w:r w:rsidR="00622B8B" w:rsidRPr="00CD0C90">
        <w:rPr>
          <w:rFonts w:asciiTheme="majorHAnsi" w:hAnsiTheme="majorHAnsi" w:cstheme="majorHAnsi"/>
        </w:rPr>
        <w:t xml:space="preserve"> </w:t>
      </w:r>
      <w:r w:rsidRPr="00CD0C90">
        <w:rPr>
          <w:rFonts w:asciiTheme="majorHAnsi" w:hAnsiTheme="majorHAnsi" w:cstheme="majorHAnsi"/>
        </w:rPr>
        <w:t xml:space="preserve">donde </w:t>
      </w:r>
      <w:r w:rsidR="00622B8B" w:rsidRPr="00CD0C90">
        <w:rPr>
          <w:rFonts w:asciiTheme="majorHAnsi" w:hAnsiTheme="majorHAnsi" w:cstheme="majorHAnsi"/>
        </w:rPr>
        <w:t xml:space="preserve">la capacidad legislativa del </w:t>
      </w:r>
      <w:r w:rsidR="001D4B0A" w:rsidRPr="00CD0C90">
        <w:rPr>
          <w:rFonts w:asciiTheme="majorHAnsi" w:hAnsiTheme="majorHAnsi" w:cstheme="majorHAnsi"/>
        </w:rPr>
        <w:t>ejecutivo</w:t>
      </w:r>
      <w:r w:rsidR="00622B8B" w:rsidRPr="00CD0C90">
        <w:rPr>
          <w:rFonts w:asciiTheme="majorHAnsi" w:hAnsiTheme="majorHAnsi" w:cstheme="majorHAnsi"/>
        </w:rPr>
        <w:t xml:space="preserve"> no depende de la negociación programática sostenida, sino de la disciplina interna de una </w:t>
      </w:r>
      <w:r w:rsidR="00622B8B" w:rsidRPr="00CD0C90">
        <w:rPr>
          <w:rFonts w:asciiTheme="majorHAnsi" w:hAnsiTheme="majorHAnsi" w:cstheme="majorHAnsi"/>
        </w:rPr>
        <w:lastRenderedPageBreak/>
        <w:t xml:space="preserve">coalición dominante, lo cual acelera la aprobación normativa sin garantizar, </w:t>
      </w:r>
      <w:r w:rsidRPr="00CD0C90">
        <w:rPr>
          <w:rFonts w:asciiTheme="majorHAnsi" w:hAnsiTheme="majorHAnsi" w:cstheme="majorHAnsi"/>
        </w:rPr>
        <w:t xml:space="preserve">hasta ahora, </w:t>
      </w:r>
      <w:r w:rsidR="00622B8B" w:rsidRPr="00CD0C90">
        <w:rPr>
          <w:rFonts w:asciiTheme="majorHAnsi" w:hAnsiTheme="majorHAnsi" w:cstheme="majorHAnsi"/>
        </w:rPr>
        <w:t>el cumplimiento de las metas de energía limpia</w:t>
      </w:r>
      <w:r w:rsidRPr="00CD0C90">
        <w:rPr>
          <w:rFonts w:asciiTheme="majorHAnsi" w:hAnsiTheme="majorHAnsi" w:cstheme="majorHAnsi"/>
        </w:rPr>
        <w:t xml:space="preserve"> o</w:t>
      </w:r>
      <w:r w:rsidR="00622B8B" w:rsidRPr="00CD0C90">
        <w:rPr>
          <w:rFonts w:asciiTheme="majorHAnsi" w:hAnsiTheme="majorHAnsi" w:cstheme="majorHAnsi"/>
        </w:rPr>
        <w:t xml:space="preserve"> una implementación más efectiva de la transición energética justa.</w:t>
      </w:r>
    </w:p>
    <w:p w14:paraId="6A5B203A" w14:textId="77777777" w:rsidR="00CD0C90" w:rsidRPr="00CD0C90" w:rsidRDefault="00CD0C90" w:rsidP="00CD0C90">
      <w:pPr>
        <w:spacing w:after="0"/>
        <w:jc w:val="both"/>
        <w:rPr>
          <w:rFonts w:asciiTheme="majorHAnsi" w:hAnsiTheme="majorHAnsi" w:cstheme="majorHAnsi"/>
        </w:rPr>
      </w:pPr>
    </w:p>
    <w:p w14:paraId="05D58812" w14:textId="785B871B" w:rsidR="00CD0C90" w:rsidRPr="00CD0C90" w:rsidRDefault="00D111B6" w:rsidP="00CD0C90">
      <w:pPr>
        <w:spacing w:after="0"/>
        <w:jc w:val="both"/>
        <w:rPr>
          <w:rFonts w:asciiTheme="majorHAnsi" w:hAnsiTheme="majorHAnsi" w:cstheme="majorHAnsi"/>
        </w:rPr>
      </w:pPr>
      <w:r w:rsidRPr="00CD0C90">
        <w:rPr>
          <w:rFonts w:asciiTheme="majorHAnsi" w:hAnsiTheme="majorHAnsi" w:cstheme="majorHAnsi"/>
          <w:b/>
          <w:bCs/>
        </w:rPr>
        <w:t>Tabla 3.</w:t>
      </w:r>
    </w:p>
    <w:p w14:paraId="30EB686F" w14:textId="2863558B" w:rsidR="00D111B6" w:rsidRPr="00CD0C90" w:rsidRDefault="00D111B6" w:rsidP="00CD0C90">
      <w:pPr>
        <w:spacing w:after="240"/>
        <w:jc w:val="both"/>
        <w:rPr>
          <w:rFonts w:asciiTheme="majorHAnsi" w:hAnsiTheme="majorHAnsi" w:cstheme="majorHAnsi"/>
        </w:rPr>
      </w:pPr>
      <w:r w:rsidRPr="00CD0C90">
        <w:rPr>
          <w:rFonts w:asciiTheme="majorHAnsi" w:hAnsiTheme="majorHAnsi" w:cstheme="majorHAnsi"/>
        </w:rPr>
        <w:t xml:space="preserve">Comparación de la dinámica </w:t>
      </w:r>
      <w:r w:rsidR="001D4B0A" w:rsidRPr="00CD0C90">
        <w:rPr>
          <w:rFonts w:asciiTheme="majorHAnsi" w:hAnsiTheme="majorHAnsi" w:cstheme="majorHAnsi"/>
        </w:rPr>
        <w:t>legislativo</w:t>
      </w:r>
      <w:r w:rsidRPr="00CD0C90">
        <w:rPr>
          <w:rFonts w:asciiTheme="majorHAnsi" w:hAnsiTheme="majorHAnsi" w:cstheme="majorHAnsi"/>
        </w:rPr>
        <w:t>-</w:t>
      </w:r>
      <w:r w:rsidR="001D4B0A" w:rsidRPr="00CD0C90">
        <w:rPr>
          <w:rFonts w:asciiTheme="majorHAnsi" w:hAnsiTheme="majorHAnsi" w:cstheme="majorHAnsi"/>
        </w:rPr>
        <w:t>ejecutivo</w:t>
      </w:r>
      <w:r w:rsidRPr="00CD0C90">
        <w:rPr>
          <w:rFonts w:asciiTheme="majorHAnsi" w:hAnsiTheme="majorHAnsi" w:cstheme="majorHAnsi"/>
        </w:rPr>
        <w:t xml:space="preserve"> en materia energética: Colombia y México</w:t>
      </w:r>
    </w:p>
    <w:tbl>
      <w:tblPr>
        <w:tblStyle w:val="Tablaconcuadrcula2-nfasis6"/>
        <w:tblW w:w="9360" w:type="dxa"/>
        <w:tblLook w:val="04A0" w:firstRow="1" w:lastRow="0" w:firstColumn="1" w:lastColumn="0" w:noHBand="0" w:noVBand="1"/>
      </w:tblPr>
      <w:tblGrid>
        <w:gridCol w:w="1980"/>
        <w:gridCol w:w="1706"/>
        <w:gridCol w:w="3334"/>
        <w:gridCol w:w="2340"/>
      </w:tblGrid>
      <w:tr w:rsidR="00D111B6" w:rsidRPr="00CD0C90" w14:paraId="286BEA34" w14:textId="77777777" w:rsidTr="00CD0C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5212304E" w14:textId="77777777" w:rsidR="00D111B6" w:rsidRPr="00CD0C90" w:rsidRDefault="00D111B6" w:rsidP="00CD0C90">
            <w:pPr>
              <w:spacing w:line="276" w:lineRule="auto"/>
              <w:jc w:val="center"/>
              <w:rPr>
                <w:rFonts w:asciiTheme="majorHAnsi" w:hAnsiTheme="majorHAnsi" w:cstheme="majorHAnsi"/>
              </w:rPr>
            </w:pPr>
            <w:r w:rsidRPr="00CD0C90">
              <w:rPr>
                <w:rFonts w:asciiTheme="majorHAnsi" w:hAnsiTheme="majorHAnsi" w:cstheme="majorHAnsi"/>
              </w:rPr>
              <w:t>Dimensión</w:t>
            </w:r>
          </w:p>
        </w:tc>
        <w:tc>
          <w:tcPr>
            <w:tcW w:w="1706" w:type="dxa"/>
            <w:vAlign w:val="center"/>
          </w:tcPr>
          <w:p w14:paraId="1ED41334" w14:textId="77777777" w:rsidR="00D111B6" w:rsidRPr="00CD0C90" w:rsidRDefault="00D111B6" w:rsidP="00CD0C90">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Colombia</w:t>
            </w:r>
          </w:p>
        </w:tc>
        <w:tc>
          <w:tcPr>
            <w:tcW w:w="3334" w:type="dxa"/>
            <w:vAlign w:val="center"/>
          </w:tcPr>
          <w:p w14:paraId="48F176D3" w14:textId="77777777" w:rsidR="00D111B6" w:rsidRPr="00CD0C90" w:rsidRDefault="00D111B6" w:rsidP="00CD0C90">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México</w:t>
            </w:r>
          </w:p>
        </w:tc>
        <w:tc>
          <w:tcPr>
            <w:tcW w:w="2340" w:type="dxa"/>
            <w:vAlign w:val="center"/>
          </w:tcPr>
          <w:p w14:paraId="72685AAF" w14:textId="77777777" w:rsidR="00D111B6" w:rsidRPr="00CD0C90" w:rsidRDefault="00D111B6" w:rsidP="00CD0C90">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Implicación para la TEJ</w:t>
            </w:r>
          </w:p>
        </w:tc>
      </w:tr>
      <w:tr w:rsidR="00D111B6" w:rsidRPr="00CD0C90" w14:paraId="6F8BA052" w14:textId="77777777" w:rsidTr="00CD0C90">
        <w:trPr>
          <w:cnfStyle w:val="000000100000" w:firstRow="0" w:lastRow="0" w:firstColumn="0" w:lastColumn="0" w:oddVBand="0" w:evenVBand="0" w:oddHBand="1" w:evenHBand="0" w:firstRowFirstColumn="0" w:firstRowLastColumn="0" w:lastRowFirstColumn="0" w:lastRowLastColumn="0"/>
          <w:trHeight w:val="1687"/>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4F04A5D4" w14:textId="77777777" w:rsidR="00D111B6" w:rsidRPr="00CD0C90" w:rsidRDefault="00D111B6" w:rsidP="00CD0C90">
            <w:pPr>
              <w:spacing w:line="276" w:lineRule="auto"/>
              <w:jc w:val="center"/>
              <w:rPr>
                <w:rFonts w:asciiTheme="majorHAnsi" w:hAnsiTheme="majorHAnsi" w:cstheme="majorHAnsi"/>
              </w:rPr>
            </w:pPr>
            <w:r w:rsidRPr="00CD0C90">
              <w:rPr>
                <w:rFonts w:asciiTheme="majorHAnsi" w:hAnsiTheme="majorHAnsi" w:cstheme="majorHAnsi"/>
              </w:rPr>
              <w:t>Fragmentación partidaria</w:t>
            </w:r>
          </w:p>
        </w:tc>
        <w:tc>
          <w:tcPr>
            <w:tcW w:w="1706" w:type="dxa"/>
            <w:vAlign w:val="center"/>
          </w:tcPr>
          <w:p w14:paraId="005AA729" w14:textId="77777777" w:rsidR="00D111B6" w:rsidRPr="00CD0C90" w:rsidRDefault="00D111B6" w:rsidP="00CD0C9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Alta, sin mecanismo estable de agregación de preferencias</w:t>
            </w:r>
          </w:p>
        </w:tc>
        <w:tc>
          <w:tcPr>
            <w:tcW w:w="3334" w:type="dxa"/>
            <w:vAlign w:val="center"/>
          </w:tcPr>
          <w:p w14:paraId="30CB8E03" w14:textId="77777777" w:rsidR="00D111B6" w:rsidRPr="00CD0C90" w:rsidRDefault="00D111B6" w:rsidP="00CD0C9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Prácticamente eliminada desde 2024 por la mayoría calificada de la coalición "Sigamos Haciendo Historia" (72,8% de la Cámara de Diputados)</w:t>
            </w:r>
          </w:p>
        </w:tc>
        <w:tc>
          <w:tcPr>
            <w:tcW w:w="2340" w:type="dxa"/>
            <w:vAlign w:val="center"/>
          </w:tcPr>
          <w:p w14:paraId="0C13D2D3" w14:textId="77777777" w:rsidR="00D111B6" w:rsidRPr="00CD0C90" w:rsidRDefault="00D111B6" w:rsidP="00CD0C9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México: la ausencia de fragmentación no garantizó mejores resultados sustantivos</w:t>
            </w:r>
          </w:p>
        </w:tc>
      </w:tr>
      <w:tr w:rsidR="00D111B6" w:rsidRPr="00CD0C90" w14:paraId="04A8FEBA" w14:textId="77777777" w:rsidTr="00CD0C90">
        <w:trPr>
          <w:trHeight w:val="1706"/>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5A92686B" w14:textId="77777777" w:rsidR="00D111B6" w:rsidRPr="00CD0C90" w:rsidRDefault="00D111B6" w:rsidP="00CD0C90">
            <w:pPr>
              <w:spacing w:line="276" w:lineRule="auto"/>
              <w:jc w:val="center"/>
              <w:rPr>
                <w:rFonts w:asciiTheme="majorHAnsi" w:hAnsiTheme="majorHAnsi" w:cstheme="majorHAnsi"/>
              </w:rPr>
            </w:pPr>
            <w:r w:rsidRPr="00CD0C90">
              <w:rPr>
                <w:rFonts w:asciiTheme="majorHAnsi" w:hAnsiTheme="majorHAnsi" w:cstheme="majorHAnsi"/>
              </w:rPr>
              <w:t>Gatekeeping legislativo</w:t>
            </w:r>
          </w:p>
        </w:tc>
        <w:tc>
          <w:tcPr>
            <w:tcW w:w="1706" w:type="dxa"/>
            <w:vAlign w:val="center"/>
          </w:tcPr>
          <w:p w14:paraId="3DBCA9D0" w14:textId="77777777" w:rsidR="00D111B6" w:rsidRPr="00CD0C90" w:rsidRDefault="00D111B6" w:rsidP="00CD0C90">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Concentrado en Comisión Quinta de Senado y Sexta de Cámara</w:t>
            </w:r>
          </w:p>
        </w:tc>
        <w:tc>
          <w:tcPr>
            <w:tcW w:w="3334" w:type="dxa"/>
            <w:vAlign w:val="center"/>
          </w:tcPr>
          <w:p w14:paraId="09CB5B58" w14:textId="77777777" w:rsidR="00D111B6" w:rsidRPr="00CD0C90" w:rsidRDefault="00D111B6" w:rsidP="00CD0C90">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Mínimo: reforma constitucional y ocho leyes secundarias aprobadas en menos de cinco meses (octubre de 2024 a marzo de 2025)</w:t>
            </w:r>
          </w:p>
        </w:tc>
        <w:tc>
          <w:tcPr>
            <w:tcW w:w="2340" w:type="dxa"/>
            <w:vAlign w:val="center"/>
          </w:tcPr>
          <w:p w14:paraId="597BFD15" w14:textId="77777777" w:rsidR="00D111B6" w:rsidRPr="00CD0C90" w:rsidRDefault="00D111B6" w:rsidP="00CD0C90">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México: mayor velocidad normativa, menor deliberación</w:t>
            </w:r>
          </w:p>
        </w:tc>
      </w:tr>
      <w:tr w:rsidR="00D111B6" w:rsidRPr="00CD0C90" w14:paraId="30A9CB42" w14:textId="77777777" w:rsidTr="00CD0C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6240CEDB" w14:textId="77777777" w:rsidR="00D111B6" w:rsidRPr="00CD0C90" w:rsidRDefault="00D111B6" w:rsidP="00CD0C90">
            <w:pPr>
              <w:spacing w:line="276" w:lineRule="auto"/>
              <w:jc w:val="center"/>
              <w:rPr>
                <w:rFonts w:asciiTheme="majorHAnsi" w:hAnsiTheme="majorHAnsi" w:cstheme="majorHAnsi"/>
              </w:rPr>
            </w:pPr>
            <w:r w:rsidRPr="00CD0C90">
              <w:rPr>
                <w:rFonts w:asciiTheme="majorHAnsi" w:hAnsiTheme="majorHAnsi" w:cstheme="majorHAnsi"/>
              </w:rPr>
              <w:t>Capacidad técnica legislativa</w:t>
            </w:r>
          </w:p>
        </w:tc>
        <w:tc>
          <w:tcPr>
            <w:tcW w:w="1706" w:type="dxa"/>
            <w:vAlign w:val="center"/>
          </w:tcPr>
          <w:p w14:paraId="6B4C849E" w14:textId="77777777" w:rsidR="00D111B6" w:rsidRPr="00CD0C90" w:rsidRDefault="00D111B6" w:rsidP="00CD0C9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UTL individuales, no especializadas</w:t>
            </w:r>
          </w:p>
        </w:tc>
        <w:tc>
          <w:tcPr>
            <w:tcW w:w="3334" w:type="dxa"/>
            <w:vAlign w:val="center"/>
          </w:tcPr>
          <w:p w14:paraId="7188922A" w14:textId="77777777" w:rsidR="00D111B6" w:rsidRPr="00CD0C90" w:rsidRDefault="00D111B6" w:rsidP="00CD0C9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IBD (Senado) y CEDIP (Diputados), de carácter consultivo no vinculante; el peso técnico dominante recayó en la SENER</w:t>
            </w:r>
          </w:p>
        </w:tc>
        <w:tc>
          <w:tcPr>
            <w:tcW w:w="2340" w:type="dxa"/>
            <w:vAlign w:val="center"/>
          </w:tcPr>
          <w:p w14:paraId="1F5C3D56" w14:textId="77777777" w:rsidR="00D111B6" w:rsidRPr="00CD0C90" w:rsidRDefault="00D111B6" w:rsidP="00CD0C9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México: persiste asimetría de información a pesar de la mayoría legislativa</w:t>
            </w:r>
          </w:p>
        </w:tc>
      </w:tr>
      <w:tr w:rsidR="00D111B6" w:rsidRPr="00CD0C90" w14:paraId="16283BD5" w14:textId="77777777" w:rsidTr="00CD0C90">
        <w:tc>
          <w:tcPr>
            <w:cnfStyle w:val="001000000000" w:firstRow="0" w:lastRow="0" w:firstColumn="1" w:lastColumn="0" w:oddVBand="0" w:evenVBand="0" w:oddHBand="0" w:evenHBand="0" w:firstRowFirstColumn="0" w:firstRowLastColumn="0" w:lastRowFirstColumn="0" w:lastRowLastColumn="0"/>
            <w:tcW w:w="1980" w:type="dxa"/>
            <w:vAlign w:val="center"/>
          </w:tcPr>
          <w:p w14:paraId="7CE77399" w14:textId="77777777" w:rsidR="00D111B6" w:rsidRPr="00CD0C90" w:rsidRDefault="00D111B6" w:rsidP="00CD0C90">
            <w:pPr>
              <w:spacing w:line="276" w:lineRule="auto"/>
              <w:jc w:val="center"/>
              <w:rPr>
                <w:rFonts w:asciiTheme="majorHAnsi" w:hAnsiTheme="majorHAnsi" w:cstheme="majorHAnsi"/>
              </w:rPr>
            </w:pPr>
            <w:r w:rsidRPr="00CD0C90">
              <w:rPr>
                <w:rFonts w:asciiTheme="majorHAnsi" w:hAnsiTheme="majorHAnsi" w:cstheme="majorHAnsi"/>
              </w:rPr>
              <w:t>Mecanismo de negociación de recursos</w:t>
            </w:r>
          </w:p>
        </w:tc>
        <w:tc>
          <w:tcPr>
            <w:tcW w:w="1706" w:type="dxa"/>
            <w:vAlign w:val="center"/>
          </w:tcPr>
          <w:p w14:paraId="564A9F81" w14:textId="77777777" w:rsidR="00D111B6" w:rsidRPr="00CD0C90" w:rsidRDefault="00D111B6" w:rsidP="00CD0C90">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Ad hoc, sujeto a relaciones personales</w:t>
            </w:r>
          </w:p>
        </w:tc>
        <w:tc>
          <w:tcPr>
            <w:tcW w:w="3334" w:type="dxa"/>
            <w:vAlign w:val="center"/>
          </w:tcPr>
          <w:p w14:paraId="07D5F980" w14:textId="77777777" w:rsidR="00D111B6" w:rsidRPr="00CD0C90" w:rsidRDefault="00D111B6" w:rsidP="00CD0C90">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Sustituido por la disciplina interna de la coalición dominante, sin mecanismo distributivo institucionalizado</w:t>
            </w:r>
          </w:p>
        </w:tc>
        <w:tc>
          <w:tcPr>
            <w:tcW w:w="2340" w:type="dxa"/>
            <w:vAlign w:val="center"/>
          </w:tcPr>
          <w:p w14:paraId="36D14A9D" w14:textId="77777777" w:rsidR="00D111B6" w:rsidRPr="00CD0C90" w:rsidRDefault="00D111B6" w:rsidP="00CD0C90">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México: la disciplina de bloque reemplaza la negociación programática</w:t>
            </w:r>
          </w:p>
        </w:tc>
      </w:tr>
      <w:tr w:rsidR="00D111B6" w:rsidRPr="00CD0C90" w14:paraId="3071CD2D" w14:textId="77777777" w:rsidTr="00CD0C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208C2935" w14:textId="77777777" w:rsidR="00D111B6" w:rsidRPr="00CD0C90" w:rsidRDefault="00D111B6" w:rsidP="00CD0C90">
            <w:pPr>
              <w:spacing w:line="276" w:lineRule="auto"/>
              <w:jc w:val="center"/>
              <w:rPr>
                <w:rFonts w:asciiTheme="majorHAnsi" w:hAnsiTheme="majorHAnsi" w:cstheme="majorHAnsi"/>
              </w:rPr>
            </w:pPr>
            <w:r w:rsidRPr="00CD0C90">
              <w:rPr>
                <w:rFonts w:asciiTheme="majorHAnsi" w:hAnsiTheme="majorHAnsi" w:cstheme="majorHAnsi"/>
              </w:rPr>
              <w:t>Espacio de construcción de consenso previo</w:t>
            </w:r>
          </w:p>
        </w:tc>
        <w:tc>
          <w:tcPr>
            <w:tcW w:w="1706" w:type="dxa"/>
            <w:vAlign w:val="center"/>
          </w:tcPr>
          <w:p w14:paraId="3C158D07" w14:textId="77777777" w:rsidR="00D111B6" w:rsidRPr="00CD0C90" w:rsidRDefault="00D111B6" w:rsidP="00CD0C9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Inexistente para energía</w:t>
            </w:r>
          </w:p>
        </w:tc>
        <w:tc>
          <w:tcPr>
            <w:tcW w:w="3334" w:type="dxa"/>
            <w:vAlign w:val="center"/>
          </w:tcPr>
          <w:p w14:paraId="21D016EB" w14:textId="77777777" w:rsidR="00D111B6" w:rsidRPr="00CD0C90" w:rsidRDefault="00D111B6" w:rsidP="00CD0C9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Inexistente; el diseño técnico de las leyes secundarias se concentró en el "libro blanco" de la SENER</w:t>
            </w:r>
          </w:p>
        </w:tc>
        <w:tc>
          <w:tcPr>
            <w:tcW w:w="2340" w:type="dxa"/>
            <w:vAlign w:val="center"/>
          </w:tcPr>
          <w:p w14:paraId="470BF2E3" w14:textId="77777777" w:rsidR="00D111B6" w:rsidRPr="00CD0C90" w:rsidRDefault="00D111B6" w:rsidP="00CD0C9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rPr>
              <w:t>México: el consenso se sustituye por mayoría, no se construye institucionalmente</w:t>
            </w:r>
          </w:p>
        </w:tc>
      </w:tr>
    </w:tbl>
    <w:p w14:paraId="3D20DDD7" w14:textId="3DA21E64" w:rsidR="00D111B6" w:rsidRPr="00CD0C90" w:rsidRDefault="00D111B6"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Fuente: Elaboración propia. Basado en Nacif (2004) y Tsebelis (2002).</w:t>
      </w:r>
    </w:p>
    <w:p w14:paraId="5CCB396E" w14:textId="7F87E582" w:rsidR="00622B8B" w:rsidRPr="00CD0C90" w:rsidRDefault="0099186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Para este caso,</w:t>
      </w:r>
      <w:r w:rsidR="00622B8B" w:rsidRPr="00CD0C90">
        <w:rPr>
          <w:rFonts w:asciiTheme="majorHAnsi" w:hAnsiTheme="majorHAnsi" w:cstheme="majorHAnsi"/>
        </w:rPr>
        <w:t xml:space="preserve"> mientras Brasil combina </w:t>
      </w:r>
      <w:r w:rsidRPr="00CD0C90">
        <w:rPr>
          <w:rFonts w:asciiTheme="majorHAnsi" w:hAnsiTheme="majorHAnsi" w:cstheme="majorHAnsi"/>
        </w:rPr>
        <w:t xml:space="preserve">una </w:t>
      </w:r>
      <w:r w:rsidR="00622B8B" w:rsidRPr="00CD0C90">
        <w:rPr>
          <w:rFonts w:asciiTheme="majorHAnsi" w:hAnsiTheme="majorHAnsi" w:cstheme="majorHAnsi"/>
        </w:rPr>
        <w:t xml:space="preserve">fragmentación partidaria con mecanismos institucionalizados de agregación de preferencias, y Chile </w:t>
      </w:r>
      <w:r w:rsidRPr="00CD0C90">
        <w:rPr>
          <w:rFonts w:asciiTheme="majorHAnsi" w:hAnsiTheme="majorHAnsi" w:cstheme="majorHAnsi"/>
        </w:rPr>
        <w:t>presenta una</w:t>
      </w:r>
      <w:r w:rsidR="00622B8B" w:rsidRPr="00CD0C90">
        <w:rPr>
          <w:rFonts w:asciiTheme="majorHAnsi" w:hAnsiTheme="majorHAnsi" w:cstheme="majorHAnsi"/>
        </w:rPr>
        <w:t xml:space="preserve"> fragmentación con capacidad técnica legislativa autónoma, México </w:t>
      </w:r>
      <w:r w:rsidRPr="00CD0C90">
        <w:rPr>
          <w:rFonts w:asciiTheme="majorHAnsi" w:hAnsiTheme="majorHAnsi" w:cstheme="majorHAnsi"/>
        </w:rPr>
        <w:t>ha resuelto las tensiones de</w:t>
      </w:r>
      <w:r w:rsidR="00622B8B" w:rsidRPr="00CD0C90">
        <w:rPr>
          <w:rFonts w:asciiTheme="majorHAnsi" w:hAnsiTheme="majorHAnsi" w:cstheme="majorHAnsi"/>
        </w:rPr>
        <w:t xml:space="preserve"> la relación </w:t>
      </w:r>
      <w:r w:rsidR="001D4B0A" w:rsidRPr="00CD0C90">
        <w:rPr>
          <w:rFonts w:asciiTheme="majorHAnsi" w:hAnsiTheme="majorHAnsi" w:cstheme="majorHAnsi"/>
        </w:rPr>
        <w:t>ejecutivo</w:t>
      </w:r>
      <w:r w:rsidR="00622B8B" w:rsidRPr="00CD0C90">
        <w:rPr>
          <w:rFonts w:asciiTheme="majorHAnsi" w:hAnsiTheme="majorHAnsi" w:cstheme="majorHAnsi"/>
        </w:rPr>
        <w:t>-</w:t>
      </w:r>
      <w:r w:rsidR="001D4B0A" w:rsidRPr="00CD0C90">
        <w:rPr>
          <w:rFonts w:asciiTheme="majorHAnsi" w:hAnsiTheme="majorHAnsi" w:cstheme="majorHAnsi"/>
        </w:rPr>
        <w:t>legislativo</w:t>
      </w:r>
      <w:r w:rsidR="00622B8B" w:rsidRPr="00CD0C90">
        <w:rPr>
          <w:rFonts w:asciiTheme="majorHAnsi" w:hAnsiTheme="majorHAnsi" w:cstheme="majorHAnsi"/>
        </w:rPr>
        <w:t xml:space="preserve"> eliminando la fragmentación mediante una mayoría calificada disciplinada, sin que </w:t>
      </w:r>
      <w:r w:rsidRPr="00CD0C90">
        <w:rPr>
          <w:rFonts w:asciiTheme="majorHAnsi" w:hAnsiTheme="majorHAnsi" w:cstheme="majorHAnsi"/>
        </w:rPr>
        <w:t>esto</w:t>
      </w:r>
      <w:r w:rsidR="00622B8B" w:rsidRPr="00CD0C90">
        <w:rPr>
          <w:rFonts w:asciiTheme="majorHAnsi" w:hAnsiTheme="majorHAnsi" w:cstheme="majorHAnsi"/>
        </w:rPr>
        <w:t xml:space="preserve"> se tradujera en mejores resultados </w:t>
      </w:r>
      <w:r w:rsidRPr="00CD0C90">
        <w:rPr>
          <w:rFonts w:asciiTheme="majorHAnsi" w:hAnsiTheme="majorHAnsi" w:cstheme="majorHAnsi"/>
        </w:rPr>
        <w:t>para la</w:t>
      </w:r>
      <w:r w:rsidR="00622B8B" w:rsidRPr="00CD0C90">
        <w:rPr>
          <w:rFonts w:asciiTheme="majorHAnsi" w:hAnsiTheme="majorHAnsi" w:cstheme="majorHAnsi"/>
        </w:rPr>
        <w:t xml:space="preserve"> transición energética. </w:t>
      </w:r>
      <w:r w:rsidRPr="00CD0C90">
        <w:rPr>
          <w:rFonts w:asciiTheme="majorHAnsi" w:hAnsiTheme="majorHAnsi" w:cstheme="majorHAnsi"/>
        </w:rPr>
        <w:t>Lo que muestra que la</w:t>
      </w:r>
      <w:r w:rsidR="00622B8B" w:rsidRPr="00CD0C90">
        <w:rPr>
          <w:rFonts w:asciiTheme="majorHAnsi" w:hAnsiTheme="majorHAnsi" w:cstheme="majorHAnsi"/>
        </w:rPr>
        <w:t xml:space="preserve"> sola construcción de mayorías legislativas amplias </w:t>
      </w:r>
      <w:r w:rsidRPr="00CD0C90">
        <w:rPr>
          <w:rFonts w:asciiTheme="majorHAnsi" w:hAnsiTheme="majorHAnsi" w:cstheme="majorHAnsi"/>
        </w:rPr>
        <w:t>podría resolver los problemas de fondo del relacionamiento, es decir,</w:t>
      </w:r>
      <w:r w:rsidR="00622B8B" w:rsidRPr="00CD0C90">
        <w:rPr>
          <w:rFonts w:asciiTheme="majorHAnsi" w:hAnsiTheme="majorHAnsi" w:cstheme="majorHAnsi"/>
        </w:rPr>
        <w:t xml:space="preserve"> la ausencia de análisis </w:t>
      </w:r>
      <w:r w:rsidR="00622B8B" w:rsidRPr="00CD0C90">
        <w:rPr>
          <w:rFonts w:asciiTheme="majorHAnsi" w:hAnsiTheme="majorHAnsi" w:cstheme="majorHAnsi"/>
        </w:rPr>
        <w:lastRenderedPageBreak/>
        <w:t>estratégico legislativo especializado que permita anticipar, y no solo tramitar más rápido, los efectos regulatorios de la política energética</w:t>
      </w:r>
      <w:r w:rsidRPr="00CD0C90">
        <w:rPr>
          <w:rFonts w:asciiTheme="majorHAnsi" w:hAnsiTheme="majorHAnsi" w:cstheme="majorHAnsi"/>
        </w:rPr>
        <w:t>, y sin embargo, no</w:t>
      </w:r>
      <w:r w:rsidR="00E21F8A" w:rsidRPr="00CD0C90">
        <w:rPr>
          <w:rFonts w:asciiTheme="majorHAnsi" w:hAnsiTheme="majorHAnsi" w:cstheme="majorHAnsi"/>
        </w:rPr>
        <w:t xml:space="preserve"> implicaría, necesariamente, un avance significativo en el objetivo de la TEJ.</w:t>
      </w:r>
    </w:p>
    <w:p w14:paraId="0D6F6034" w14:textId="73DEE477" w:rsidR="00FF7AC3" w:rsidRPr="00DD57B0" w:rsidRDefault="00E63C4F" w:rsidP="00DD57B0">
      <w:pPr>
        <w:pStyle w:val="Ttulo3"/>
      </w:pPr>
      <w:bookmarkStart w:id="57" w:name="_Toc234920369"/>
      <w:r w:rsidRPr="00DD57B0">
        <w:t>2.2</w:t>
      </w:r>
      <w:r w:rsidR="00FF7AC3" w:rsidRPr="00DD57B0">
        <w:t xml:space="preserve"> Lecciones para el caso colombiano</w:t>
      </w:r>
      <w:bookmarkEnd w:id="57"/>
    </w:p>
    <w:p w14:paraId="04CA639E" w14:textId="77777777" w:rsidR="00FF7AC3" w:rsidRPr="00CD0C90" w:rsidRDefault="00FF7AC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El análisis comparativo demuestra que la capacidad de Colombia para avanzar en su Transición Energética Justa está directamente relacionada con la calidad de la relación institucional entre su poder ejecutivo y su poder legislativo. </w:t>
      </w:r>
    </w:p>
    <w:p w14:paraId="635C44C4" w14:textId="51D42560" w:rsidR="00FF7AC3" w:rsidRPr="00CD0C90" w:rsidRDefault="00FF7AC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El primer hallazgo significativo para el caso de estudio es que la calidad de los instrumentos de planificación ejecutiva no determina por sí sola la eficacia de la gobernanza legislativa de la transición energética. Tanto Brasil como Colombia cuentan con planes estratégicos energéticos ambiciosos y técnicamente elaborados, pero su diferencia está en la infraestructura institucional que conecta esa planificación con el proceso legislativo. Los casos exitosos</w:t>
      </w:r>
      <w:r w:rsidR="007E37C4" w:rsidRPr="00CD0C90">
        <w:rPr>
          <w:rFonts w:asciiTheme="majorHAnsi" w:hAnsiTheme="majorHAnsi" w:cstheme="majorHAnsi"/>
          <w:lang w:val="es-ES"/>
        </w:rPr>
        <w:t xml:space="preserve"> de </w:t>
      </w:r>
      <w:r w:rsidRPr="00CD0C90">
        <w:rPr>
          <w:rFonts w:asciiTheme="majorHAnsi" w:hAnsiTheme="majorHAnsi" w:cstheme="majorHAnsi"/>
          <w:lang w:val="es-ES"/>
        </w:rPr>
        <w:t>Brasil</w:t>
      </w:r>
      <w:r w:rsidR="007E37C4" w:rsidRPr="00CD0C90">
        <w:rPr>
          <w:rFonts w:asciiTheme="majorHAnsi" w:hAnsiTheme="majorHAnsi" w:cstheme="majorHAnsi"/>
          <w:lang w:val="es-ES"/>
        </w:rPr>
        <w:t xml:space="preserve"> y </w:t>
      </w:r>
      <w:r w:rsidRPr="00CD0C90">
        <w:rPr>
          <w:rFonts w:asciiTheme="majorHAnsi" w:hAnsiTheme="majorHAnsi" w:cstheme="majorHAnsi"/>
          <w:lang w:val="es-ES"/>
        </w:rPr>
        <w:t xml:space="preserve">Chile </w:t>
      </w:r>
      <w:r w:rsidR="007E37C4" w:rsidRPr="00CD0C90">
        <w:rPr>
          <w:rFonts w:asciiTheme="majorHAnsi" w:hAnsiTheme="majorHAnsi" w:cstheme="majorHAnsi"/>
          <w:lang w:val="es-ES"/>
        </w:rPr>
        <w:t>cuentan con</w:t>
      </w:r>
      <w:r w:rsidRPr="00CD0C90">
        <w:rPr>
          <w:rFonts w:asciiTheme="majorHAnsi" w:hAnsiTheme="majorHAnsi" w:cstheme="majorHAnsi"/>
          <w:lang w:val="es-ES"/>
        </w:rPr>
        <w:t xml:space="preserve"> un articulador ejecutivo-legislativo permanente que trasciende los ciclos ministeriales o un cuerpo técnico institucionalizado de asesoría especializada al </w:t>
      </w:r>
      <w:r w:rsidR="001D4B0A" w:rsidRPr="00CD0C90">
        <w:rPr>
          <w:rFonts w:asciiTheme="majorHAnsi" w:hAnsiTheme="majorHAnsi" w:cstheme="majorHAnsi"/>
          <w:lang w:val="es-ES"/>
        </w:rPr>
        <w:t>legislativo</w:t>
      </w:r>
      <w:r w:rsidRPr="00CD0C90">
        <w:rPr>
          <w:rFonts w:asciiTheme="majorHAnsi" w:hAnsiTheme="majorHAnsi" w:cstheme="majorHAnsi"/>
          <w:lang w:val="es-ES"/>
        </w:rPr>
        <w:t xml:space="preserve">. Cuando estos componentes no están en la arquitectura institucional, la planificación ejecutiva produce documentos de política que no tienen un par o un reflejo en la agenda legislativa. La IEA (2023) diagnosticó esta brecha con precisión al señalar que los planes energéticos colombianos no siempre están bien alineados ni coordinados y que existe fragmentación de la gobernanza de datos en el sector. </w:t>
      </w:r>
    </w:p>
    <w:p w14:paraId="65C6FF06" w14:textId="1F34467E" w:rsidR="00FF7AC3" w:rsidRPr="00CD0C90" w:rsidRDefault="00FF7AC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Por otra parte, la institucionalización de la coordinación ejecutivo-legislativo no depende únicamente del régimen político, sino de la voluntad de construir mecanismos permanentes de articulación dentro del sistema existente. Al igual que Colombia, Chile opera bajo presidencialismo multipartidista y ha logrado producir una agenda legislativa energética coherente en gobiernos sin mayoría parlamentaria. El factor explicativo no es la mayoría legislativa en sí misma, sino la existencia de la SEGPRES-DIREPOL, la BCN-ATP y la Ley de lobby como componentes de una arquitectura que reduce la dependencia del proceso legislativo respecto de las capacidades y relaciones individuales del ministro de turno. </w:t>
      </w:r>
      <w:r w:rsidR="007E37C4" w:rsidRPr="00CD0C90">
        <w:rPr>
          <w:rFonts w:asciiTheme="majorHAnsi" w:hAnsiTheme="majorHAnsi" w:cstheme="majorHAnsi"/>
          <w:lang w:val="es-ES"/>
        </w:rPr>
        <w:t>De acuerdo con e</w:t>
      </w:r>
      <w:r w:rsidRPr="00CD0C90">
        <w:rPr>
          <w:rFonts w:asciiTheme="majorHAnsi" w:hAnsiTheme="majorHAnsi" w:cstheme="majorHAnsi"/>
          <w:lang w:val="es-ES"/>
        </w:rPr>
        <w:t>l enfoque de Rhodes (1990), la diferencia entre Chile y Colombia es la diferencia entre una policy network con nodos institucionales estables y una red con nodos personales que se renuevan con cada cambio ministerial.</w:t>
      </w:r>
    </w:p>
    <w:p w14:paraId="1E3271A2" w14:textId="15E169FE" w:rsidR="00FF7AC3" w:rsidRPr="00CD0C90" w:rsidRDefault="00FF7AC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El tercer hallazgo es que la ausencia de análisis estratégico legislativo produce disfuncionalidades institucionales de distinto tipo según el sistema político en el que opera. En México, la supermayoría de Morena pudo sustituir el análisis técnico mediante la disciplina partidaria, produciendo </w:t>
      </w:r>
      <w:r w:rsidR="007E37C4" w:rsidRPr="00CD0C90">
        <w:rPr>
          <w:rFonts w:asciiTheme="majorHAnsi" w:hAnsiTheme="majorHAnsi" w:cstheme="majorHAnsi"/>
          <w:lang w:val="es-ES"/>
        </w:rPr>
        <w:t xml:space="preserve">una rápida aprobación de la </w:t>
      </w:r>
      <w:r w:rsidRPr="00CD0C90">
        <w:rPr>
          <w:rFonts w:asciiTheme="majorHAnsi" w:hAnsiTheme="majorHAnsi" w:cstheme="majorHAnsi"/>
          <w:lang w:val="es-ES"/>
        </w:rPr>
        <w:t>legislación</w:t>
      </w:r>
      <w:r w:rsidR="004724DF" w:rsidRPr="00CD0C90">
        <w:rPr>
          <w:rFonts w:asciiTheme="majorHAnsi" w:hAnsiTheme="majorHAnsi" w:cstheme="majorHAnsi"/>
          <w:lang w:val="es-ES"/>
        </w:rPr>
        <w:t>,</w:t>
      </w:r>
      <w:r w:rsidRPr="00CD0C90">
        <w:rPr>
          <w:rFonts w:asciiTheme="majorHAnsi" w:hAnsiTheme="majorHAnsi" w:cstheme="majorHAnsi"/>
          <w:lang w:val="es-ES"/>
        </w:rPr>
        <w:t xml:space="preserve"> </w:t>
      </w:r>
      <w:r w:rsidR="007E37C4" w:rsidRPr="00CD0C90">
        <w:rPr>
          <w:rFonts w:asciiTheme="majorHAnsi" w:hAnsiTheme="majorHAnsi" w:cstheme="majorHAnsi"/>
          <w:lang w:val="es-ES"/>
        </w:rPr>
        <w:t>con una base técnica</w:t>
      </w:r>
      <w:r w:rsidRPr="00CD0C90">
        <w:rPr>
          <w:rFonts w:asciiTheme="majorHAnsi" w:hAnsiTheme="majorHAnsi" w:cstheme="majorHAnsi"/>
          <w:lang w:val="es-ES"/>
        </w:rPr>
        <w:t xml:space="preserve"> insuficiente</w:t>
      </w:r>
      <w:r w:rsidR="007E37C4" w:rsidRPr="00CD0C90">
        <w:rPr>
          <w:rFonts w:asciiTheme="majorHAnsi" w:hAnsiTheme="majorHAnsi" w:cstheme="majorHAnsi"/>
          <w:lang w:val="es-ES"/>
        </w:rPr>
        <w:t xml:space="preserve">, que podría terminar </w:t>
      </w:r>
      <w:r w:rsidRPr="00CD0C90">
        <w:rPr>
          <w:rFonts w:asciiTheme="majorHAnsi" w:hAnsiTheme="majorHAnsi" w:cstheme="majorHAnsi"/>
          <w:lang w:val="es-ES"/>
        </w:rPr>
        <w:t>genera</w:t>
      </w:r>
      <w:r w:rsidR="007E37C4" w:rsidRPr="00CD0C90">
        <w:rPr>
          <w:rFonts w:asciiTheme="majorHAnsi" w:hAnsiTheme="majorHAnsi" w:cstheme="majorHAnsi"/>
          <w:lang w:val="es-ES"/>
        </w:rPr>
        <w:t>ndo</w:t>
      </w:r>
      <w:r w:rsidRPr="00CD0C90">
        <w:rPr>
          <w:rFonts w:asciiTheme="majorHAnsi" w:hAnsiTheme="majorHAnsi" w:cstheme="majorHAnsi"/>
          <w:lang w:val="es-ES"/>
        </w:rPr>
        <w:t xml:space="preserve"> inestabilidad normativa </w:t>
      </w:r>
      <w:r w:rsidR="007E37C4" w:rsidRPr="00CD0C90">
        <w:rPr>
          <w:rFonts w:asciiTheme="majorHAnsi" w:hAnsiTheme="majorHAnsi" w:cstheme="majorHAnsi"/>
          <w:lang w:val="es-ES"/>
        </w:rPr>
        <w:t>a</w:t>
      </w:r>
      <w:r w:rsidRPr="00CD0C90">
        <w:rPr>
          <w:rFonts w:asciiTheme="majorHAnsi" w:hAnsiTheme="majorHAnsi" w:cstheme="majorHAnsi"/>
          <w:lang w:val="es-ES"/>
        </w:rPr>
        <w:t xml:space="preserve"> largo plazo. En Colombia, el sistema multipartidista fragmentado no ofrece ningún mecanismo de compensación: la ausencia de análisis estratégico legislativo se expresa como </w:t>
      </w:r>
      <w:r w:rsidRPr="00CD0C90">
        <w:rPr>
          <w:rFonts w:asciiTheme="majorHAnsi" w:hAnsiTheme="majorHAnsi" w:cstheme="majorHAnsi"/>
          <w:lang w:val="es-ES"/>
        </w:rPr>
        <w:lastRenderedPageBreak/>
        <w:t xml:space="preserve">personalismo e informalidad en la relación MME-Congreso, que impide la consolidación de coaliciones legislativas estables en materia energética. </w:t>
      </w:r>
    </w:p>
    <w:p w14:paraId="103E0F46" w14:textId="6F3B46D7" w:rsidR="00FF7AC3" w:rsidRDefault="00FF7AC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Si bien la debilidad estructural del análisis estratégico legislativo genera una relación fragmentada y personalista entre el ejecutivo y el </w:t>
      </w:r>
      <w:r w:rsidR="001D4B0A" w:rsidRPr="00CD0C90">
        <w:rPr>
          <w:rFonts w:asciiTheme="majorHAnsi" w:hAnsiTheme="majorHAnsi" w:cstheme="majorHAnsi"/>
          <w:lang w:val="es-ES"/>
        </w:rPr>
        <w:t>legislativo</w:t>
      </w:r>
      <w:r w:rsidRPr="00CD0C90">
        <w:rPr>
          <w:rFonts w:asciiTheme="majorHAnsi" w:hAnsiTheme="majorHAnsi" w:cstheme="majorHAnsi"/>
          <w:lang w:val="es-ES"/>
        </w:rPr>
        <w:t>, con efectos directamente negativos sobre la coherencia, la estabilidad y la implementación de la transición energética justa, los casos de Brasil y Chile demuestran que esta debilidad puede ser superada mediante la construcción deliberada de arquitecturas institucionales de coordinación, mientras que el caso de México constituye una alera sobre los riesgos de sustituir esa arquitectura con mecanismos de eficacia aparente que no garantizan la calidad técnica de la política pública.</w:t>
      </w:r>
    </w:p>
    <w:p w14:paraId="50199107" w14:textId="35B07760" w:rsidR="00CD0C90" w:rsidRPr="00CD0C90" w:rsidRDefault="00CD0C90" w:rsidP="00E63C4F">
      <w:pPr>
        <w:pStyle w:val="Ttulo2"/>
        <w:rPr>
          <w:sz w:val="22"/>
          <w:szCs w:val="22"/>
        </w:rPr>
      </w:pPr>
      <w:bookmarkStart w:id="58" w:name="_Toc234920370"/>
      <w:r>
        <w:rPr>
          <w:lang w:val="es-ES"/>
        </w:rPr>
        <w:t>Conclusiones</w:t>
      </w:r>
      <w:bookmarkEnd w:id="58"/>
    </w:p>
    <w:p w14:paraId="6C825270" w14:textId="2F5F6C57" w:rsidR="00313E51" w:rsidRPr="00313E51" w:rsidRDefault="00313E51" w:rsidP="00313E51">
      <w:pPr>
        <w:pBdr>
          <w:top w:val="nil"/>
          <w:left w:val="nil"/>
          <w:bottom w:val="nil"/>
          <w:right w:val="nil"/>
          <w:between w:val="nil"/>
        </w:pBdr>
        <w:spacing w:before="240" w:after="0"/>
        <w:jc w:val="both"/>
        <w:rPr>
          <w:rFonts w:asciiTheme="majorHAnsi" w:hAnsiTheme="majorHAnsi" w:cstheme="majorHAnsi"/>
        </w:rPr>
      </w:pPr>
      <w:r w:rsidRPr="00313E51">
        <w:rPr>
          <w:rFonts w:asciiTheme="majorHAnsi" w:hAnsiTheme="majorHAnsi" w:cstheme="majorHAnsi"/>
        </w:rPr>
        <w:t>En el plano institucional-estructural, el diseño constitucional de 1991 combina un presidencialismo con amplia iniciativa legislativa en materia energética con un Congreso multipartidista cuyo número efectivo de partidos ha crecido de manera sostenid</w:t>
      </w:r>
      <w:r>
        <w:rPr>
          <w:rFonts w:asciiTheme="majorHAnsi" w:hAnsiTheme="majorHAnsi" w:cstheme="majorHAnsi"/>
        </w:rPr>
        <w:t>a</w:t>
      </w:r>
      <w:r w:rsidRPr="00313E51">
        <w:rPr>
          <w:rFonts w:asciiTheme="majorHAnsi" w:hAnsiTheme="majorHAnsi" w:cstheme="majorHAnsi"/>
        </w:rPr>
        <w:t xml:space="preserve"> (Wills Otero, 2023)</w:t>
      </w:r>
      <w:r>
        <w:rPr>
          <w:rFonts w:asciiTheme="majorHAnsi" w:hAnsiTheme="majorHAnsi" w:cstheme="majorHAnsi"/>
        </w:rPr>
        <w:t>,</w:t>
      </w:r>
      <w:r w:rsidRPr="00313E51">
        <w:rPr>
          <w:rFonts w:asciiTheme="majorHAnsi" w:hAnsiTheme="majorHAnsi" w:cstheme="majorHAnsi"/>
        </w:rPr>
        <w:t xml:space="preserve"> sin que exista un mecanismo institucionalizado de coalición de gobierno que reduzca los costos de coordinación derivados de esa fragmentación. </w:t>
      </w:r>
      <w:r>
        <w:rPr>
          <w:rFonts w:asciiTheme="majorHAnsi" w:hAnsiTheme="majorHAnsi" w:cstheme="majorHAnsi"/>
        </w:rPr>
        <w:t xml:space="preserve">Si bien </w:t>
      </w:r>
      <w:r w:rsidRPr="00313E51">
        <w:rPr>
          <w:rFonts w:asciiTheme="majorHAnsi" w:hAnsiTheme="majorHAnsi" w:cstheme="majorHAnsi"/>
        </w:rPr>
        <w:t xml:space="preserve">el diseño constitucional garantiza </w:t>
      </w:r>
      <w:r>
        <w:rPr>
          <w:rFonts w:asciiTheme="majorHAnsi" w:hAnsiTheme="majorHAnsi" w:cstheme="majorHAnsi"/>
        </w:rPr>
        <w:t>controles</w:t>
      </w:r>
      <w:r w:rsidRPr="00313E51">
        <w:rPr>
          <w:rFonts w:asciiTheme="majorHAnsi" w:hAnsiTheme="majorHAnsi" w:cstheme="majorHAnsi"/>
        </w:rPr>
        <w:t xml:space="preserve"> formales entre ramas del poder público, como advierte O'Donnell (1998), la existencia de dichos frenos no equivale a la existencia de accountability horizontal efectiva. En el caso de</w:t>
      </w:r>
      <w:r>
        <w:rPr>
          <w:rFonts w:asciiTheme="majorHAnsi" w:hAnsiTheme="majorHAnsi" w:cstheme="majorHAnsi"/>
        </w:rPr>
        <w:t xml:space="preserve"> la relación entre el </w:t>
      </w:r>
      <w:r w:rsidRPr="00313E51">
        <w:rPr>
          <w:rFonts w:asciiTheme="majorHAnsi" w:hAnsiTheme="majorHAnsi" w:cstheme="majorHAnsi"/>
        </w:rPr>
        <w:t xml:space="preserve">MME-Congreso, el control político previsto en la Ley 5 de 1992 opera principalmente como instrumento de visibilización política, </w:t>
      </w:r>
      <w:r>
        <w:rPr>
          <w:rFonts w:asciiTheme="majorHAnsi" w:hAnsiTheme="majorHAnsi" w:cstheme="majorHAnsi"/>
        </w:rPr>
        <w:t xml:space="preserve">e incluso, </w:t>
      </w:r>
      <w:r w:rsidR="00CC192F">
        <w:rPr>
          <w:rFonts w:asciiTheme="majorHAnsi" w:hAnsiTheme="majorHAnsi" w:cstheme="majorHAnsi"/>
        </w:rPr>
        <w:t xml:space="preserve">algunas veces, </w:t>
      </w:r>
      <w:r w:rsidRPr="00313E51">
        <w:rPr>
          <w:rFonts w:asciiTheme="majorHAnsi" w:hAnsiTheme="majorHAnsi" w:cstheme="majorHAnsi"/>
        </w:rPr>
        <w:t xml:space="preserve">como palanca de negociación programática. </w:t>
      </w:r>
      <w:r>
        <w:rPr>
          <w:rFonts w:asciiTheme="majorHAnsi" w:hAnsiTheme="majorHAnsi" w:cstheme="majorHAnsi"/>
        </w:rPr>
        <w:t>E</w:t>
      </w:r>
      <w:r w:rsidRPr="00313E51">
        <w:rPr>
          <w:rFonts w:asciiTheme="majorHAnsi" w:hAnsiTheme="majorHAnsi" w:cstheme="majorHAnsi"/>
        </w:rPr>
        <w:t xml:space="preserve">l MME se comporta como un </w:t>
      </w:r>
      <w:r>
        <w:rPr>
          <w:rFonts w:asciiTheme="majorHAnsi" w:hAnsiTheme="majorHAnsi" w:cstheme="majorHAnsi"/>
        </w:rPr>
        <w:t>e</w:t>
      </w:r>
      <w:r w:rsidRPr="00313E51">
        <w:rPr>
          <w:rFonts w:asciiTheme="majorHAnsi" w:hAnsiTheme="majorHAnsi" w:cstheme="majorHAnsi"/>
        </w:rPr>
        <w:t>jecutivo de tipo "nacional" que impulsa una agenda ambiciosa de TEJ sin garantizar previamente una coalición formal estable, frente a una asamblea "negociadora" que condiciona su respaldo a compensaciones distributivas puntuales. El resultado es un "juego bilateral de vetos" en el que ninguna de las partes logra imponer unilateralmente su agenda, y en el que la ausencia de un aparato técnico permanente de relacionamiento legislativo</w:t>
      </w:r>
      <w:r>
        <w:rPr>
          <w:rFonts w:asciiTheme="majorHAnsi" w:hAnsiTheme="majorHAnsi" w:cstheme="majorHAnsi"/>
        </w:rPr>
        <w:t xml:space="preserve"> estratégico</w:t>
      </w:r>
      <w:r w:rsidRPr="00313E51">
        <w:rPr>
          <w:rFonts w:asciiTheme="majorHAnsi" w:hAnsiTheme="majorHAnsi" w:cstheme="majorHAnsi"/>
        </w:rPr>
        <w:t xml:space="preserve"> impide capitalizar las ventanas de oportunidad coyunturales.</w:t>
      </w:r>
    </w:p>
    <w:p w14:paraId="3622D762" w14:textId="09C1E210" w:rsidR="00CC192F" w:rsidRPr="00CC192F" w:rsidRDefault="00CC192F" w:rsidP="00CC192F">
      <w:pPr>
        <w:pBdr>
          <w:top w:val="nil"/>
          <w:left w:val="nil"/>
          <w:bottom w:val="nil"/>
          <w:right w:val="nil"/>
          <w:between w:val="nil"/>
        </w:pBdr>
        <w:spacing w:before="240" w:after="0"/>
        <w:jc w:val="both"/>
        <w:rPr>
          <w:rFonts w:asciiTheme="majorHAnsi" w:hAnsiTheme="majorHAnsi" w:cstheme="majorHAnsi"/>
        </w:rPr>
      </w:pPr>
      <w:r w:rsidRPr="00CC192F">
        <w:rPr>
          <w:rFonts w:asciiTheme="majorHAnsi" w:hAnsiTheme="majorHAnsi" w:cstheme="majorHAnsi"/>
        </w:rPr>
        <w:t xml:space="preserve">El modelo de corrientes múltiples de Kingdon (2011) explica </w:t>
      </w:r>
      <w:r>
        <w:rPr>
          <w:rFonts w:asciiTheme="majorHAnsi" w:hAnsiTheme="majorHAnsi" w:cstheme="majorHAnsi"/>
        </w:rPr>
        <w:t>que</w:t>
      </w:r>
      <w:r w:rsidRPr="00CC192F">
        <w:rPr>
          <w:rFonts w:asciiTheme="majorHAnsi" w:hAnsiTheme="majorHAnsi" w:cstheme="majorHAnsi"/>
        </w:rPr>
        <w:t>, a pesar de existir una corriente de problemas claramente identificada</w:t>
      </w:r>
      <w:r>
        <w:rPr>
          <w:rFonts w:asciiTheme="majorHAnsi" w:hAnsiTheme="majorHAnsi" w:cstheme="majorHAnsi"/>
        </w:rPr>
        <w:t xml:space="preserve">, como </w:t>
      </w:r>
      <w:r w:rsidRPr="00CC192F">
        <w:rPr>
          <w:rFonts w:asciiTheme="majorHAnsi" w:hAnsiTheme="majorHAnsi" w:cstheme="majorHAnsi"/>
        </w:rPr>
        <w:t>la dependencia estructural de hidrocarburos y los compromisos climáticos internacionales de Colombia</w:t>
      </w:r>
      <w:r>
        <w:rPr>
          <w:rFonts w:asciiTheme="majorHAnsi" w:hAnsiTheme="majorHAnsi" w:cstheme="majorHAnsi"/>
        </w:rPr>
        <w:t>,</w:t>
      </w:r>
      <w:r w:rsidRPr="00CC192F">
        <w:rPr>
          <w:rFonts w:asciiTheme="majorHAnsi" w:hAnsiTheme="majorHAnsi" w:cstheme="majorHAnsi"/>
        </w:rPr>
        <w:t xml:space="preserve"> </w:t>
      </w:r>
      <w:r>
        <w:rPr>
          <w:rFonts w:asciiTheme="majorHAnsi" w:hAnsiTheme="majorHAnsi" w:cstheme="majorHAnsi"/>
        </w:rPr>
        <w:t>así como también</w:t>
      </w:r>
      <w:r w:rsidRPr="00CC192F">
        <w:rPr>
          <w:rFonts w:asciiTheme="majorHAnsi" w:hAnsiTheme="majorHAnsi" w:cstheme="majorHAnsi"/>
        </w:rPr>
        <w:t xml:space="preserve"> una corriente de políticas con alternativas </w:t>
      </w:r>
      <w:r>
        <w:rPr>
          <w:rFonts w:asciiTheme="majorHAnsi" w:hAnsiTheme="majorHAnsi" w:cstheme="majorHAnsi"/>
        </w:rPr>
        <w:t>técnicas sólidas, como lo ha planteado el MME</w:t>
      </w:r>
      <w:r w:rsidRPr="00CC192F">
        <w:rPr>
          <w:rFonts w:asciiTheme="majorHAnsi" w:hAnsiTheme="majorHAnsi" w:cstheme="majorHAnsi"/>
        </w:rPr>
        <w:t xml:space="preserve">, la corriente política rara vez abre una ventana de oportunidad sostenida. La ausencia de un "emprendedor de política" institucionalizado dentro del Ministerio explica por qué ventanas que sí se abren, como la aprobación conciliada del proyecto de gas para vivienda de interés social y prioritario, terminan cerrándose por fallas </w:t>
      </w:r>
      <w:r>
        <w:rPr>
          <w:rFonts w:asciiTheme="majorHAnsi" w:hAnsiTheme="majorHAnsi" w:cstheme="majorHAnsi"/>
        </w:rPr>
        <w:t>en la</w:t>
      </w:r>
      <w:r w:rsidRPr="00CC192F">
        <w:rPr>
          <w:rFonts w:asciiTheme="majorHAnsi" w:hAnsiTheme="majorHAnsi" w:cstheme="majorHAnsi"/>
        </w:rPr>
        <w:t xml:space="preserve"> coordinación. La teoría principal-agente permite interpretar esta dinámica como un problema de agencia de doble nivel: el Congreso como agente de la ciudadanía frente al Ejecutivo sectorial, y el MME como agente del Presidente frente a otr</w:t>
      </w:r>
      <w:r>
        <w:rPr>
          <w:rFonts w:asciiTheme="majorHAnsi" w:hAnsiTheme="majorHAnsi" w:cstheme="majorHAnsi"/>
        </w:rPr>
        <w:t xml:space="preserve">as entidades, </w:t>
      </w:r>
      <w:r w:rsidRPr="00CC192F">
        <w:rPr>
          <w:rFonts w:asciiTheme="majorHAnsi" w:hAnsiTheme="majorHAnsi" w:cstheme="majorHAnsi"/>
        </w:rPr>
        <w:t>con asimetrías de información y costos de monitoreo (Str</w:t>
      </w:r>
      <w:r>
        <w:rPr>
          <w:rFonts w:asciiTheme="majorHAnsi" w:hAnsiTheme="majorHAnsi" w:cstheme="majorHAnsi"/>
        </w:rPr>
        <w:t>o</w:t>
      </w:r>
      <w:r w:rsidRPr="00CC192F">
        <w:rPr>
          <w:rFonts w:asciiTheme="majorHAnsi" w:hAnsiTheme="majorHAnsi" w:cstheme="majorHAnsi"/>
        </w:rPr>
        <w:t>m, 2000) agravados por la ausencia de un equipo técnico dedicado a estudios de impacto fiscal y social ex ante.</w:t>
      </w:r>
    </w:p>
    <w:p w14:paraId="71ADAD6E" w14:textId="59FF06B0" w:rsidR="00CC192F" w:rsidRPr="00CC192F" w:rsidRDefault="00CC192F" w:rsidP="00CC192F">
      <w:pPr>
        <w:pBdr>
          <w:top w:val="nil"/>
          <w:left w:val="nil"/>
          <w:bottom w:val="nil"/>
          <w:right w:val="nil"/>
          <w:between w:val="nil"/>
        </w:pBdr>
        <w:spacing w:before="240" w:after="0"/>
        <w:jc w:val="both"/>
        <w:rPr>
          <w:rFonts w:asciiTheme="majorHAnsi" w:hAnsiTheme="majorHAnsi" w:cstheme="majorHAnsi"/>
        </w:rPr>
      </w:pPr>
      <w:r w:rsidRPr="00CC192F">
        <w:rPr>
          <w:rFonts w:asciiTheme="majorHAnsi" w:hAnsiTheme="majorHAnsi" w:cstheme="majorHAnsi"/>
        </w:rPr>
        <w:lastRenderedPageBreak/>
        <w:t>En la práctica administrativa, la debilidad del análisis estratégico legislativo (ASL) no es solo un déficit de diseño institucional agregado, sino una falla identificable en la operación cotidiana de la única herramienta de planeación legislativa desarrollada formalmente. El contexto político de 2022-2026</w:t>
      </w:r>
      <w:r>
        <w:rPr>
          <w:rFonts w:asciiTheme="majorHAnsi" w:hAnsiTheme="majorHAnsi" w:cstheme="majorHAnsi"/>
        </w:rPr>
        <w:t xml:space="preserve"> existió </w:t>
      </w:r>
      <w:r w:rsidRPr="00CC192F">
        <w:rPr>
          <w:rFonts w:asciiTheme="majorHAnsi" w:hAnsiTheme="majorHAnsi" w:cstheme="majorHAnsi"/>
        </w:rPr>
        <w:t>una coalición de gobierno que nunca superó el 20,5 % de los escaños en ninguna cámara</w:t>
      </w:r>
      <w:r>
        <w:rPr>
          <w:rFonts w:asciiTheme="majorHAnsi" w:hAnsiTheme="majorHAnsi" w:cstheme="majorHAnsi"/>
        </w:rPr>
        <w:t xml:space="preserve">, </w:t>
      </w:r>
      <w:r w:rsidRPr="00CC192F">
        <w:rPr>
          <w:rFonts w:asciiTheme="majorHAnsi" w:hAnsiTheme="majorHAnsi" w:cstheme="majorHAnsi"/>
        </w:rPr>
        <w:t>y que se rompió en abril de 2023 tras la derrota de la reforma a la salud en la Comisión Séptima</w:t>
      </w:r>
      <w:r>
        <w:rPr>
          <w:rFonts w:asciiTheme="majorHAnsi" w:hAnsiTheme="majorHAnsi" w:cstheme="majorHAnsi"/>
        </w:rPr>
        <w:t>,</w:t>
      </w:r>
      <w:r w:rsidRPr="00CC192F">
        <w:rPr>
          <w:rFonts w:asciiTheme="majorHAnsi" w:hAnsiTheme="majorHAnsi" w:cstheme="majorHAnsi"/>
        </w:rPr>
        <w:t xml:space="preserve"> confirma </w:t>
      </w:r>
      <w:r>
        <w:rPr>
          <w:rFonts w:asciiTheme="majorHAnsi" w:hAnsiTheme="majorHAnsi" w:cstheme="majorHAnsi"/>
        </w:rPr>
        <w:t xml:space="preserve">los señalamientos de </w:t>
      </w:r>
      <w:r w:rsidRPr="00CC192F">
        <w:rPr>
          <w:rFonts w:asciiTheme="majorHAnsi" w:hAnsiTheme="majorHAnsi" w:cstheme="majorHAnsi"/>
        </w:rPr>
        <w:t xml:space="preserve">la Mainwaring (1993) sobre la combinación entre presidencialismo y multipartidismo: sin mecanismos de formación de mayorías estables, cada iniciativa sectorial se negocia de facto, proyecto por proyecto. </w:t>
      </w:r>
      <w:r>
        <w:rPr>
          <w:rFonts w:asciiTheme="majorHAnsi" w:hAnsiTheme="majorHAnsi" w:cstheme="majorHAnsi"/>
        </w:rPr>
        <w:t>Esto, sumado a la rotación ministerial, así como la de quienes conforman el equipo de asuntos legislativos</w:t>
      </w:r>
      <w:r w:rsidRPr="00CC192F">
        <w:rPr>
          <w:rFonts w:asciiTheme="majorHAnsi" w:hAnsiTheme="majorHAnsi" w:cstheme="majorHAnsi"/>
        </w:rPr>
        <w:t xml:space="preserve">, </w:t>
      </w:r>
      <w:r>
        <w:rPr>
          <w:rFonts w:asciiTheme="majorHAnsi" w:hAnsiTheme="majorHAnsi" w:cstheme="majorHAnsi"/>
        </w:rPr>
        <w:t xml:space="preserve">hace que, </w:t>
      </w:r>
      <w:r w:rsidRPr="00CC192F">
        <w:rPr>
          <w:rFonts w:asciiTheme="majorHAnsi" w:hAnsiTheme="majorHAnsi" w:cstheme="majorHAnsi"/>
        </w:rPr>
        <w:t>en términos de Bertranou (2015), la capacidad político-relacional del MME no se acumul</w:t>
      </w:r>
      <w:r>
        <w:rPr>
          <w:rFonts w:asciiTheme="majorHAnsi" w:hAnsiTheme="majorHAnsi" w:cstheme="majorHAnsi"/>
        </w:rPr>
        <w:t>e</w:t>
      </w:r>
      <w:r w:rsidRPr="00CC192F">
        <w:rPr>
          <w:rFonts w:asciiTheme="majorHAnsi" w:hAnsiTheme="majorHAnsi" w:cstheme="majorHAnsi"/>
        </w:rPr>
        <w:t xml:space="preserve"> institucionalmente, sino que se reinici</w:t>
      </w:r>
      <w:r>
        <w:rPr>
          <w:rFonts w:asciiTheme="majorHAnsi" w:hAnsiTheme="majorHAnsi" w:cstheme="majorHAnsi"/>
        </w:rPr>
        <w:t>e</w:t>
      </w:r>
      <w:r w:rsidRPr="00CC192F">
        <w:rPr>
          <w:rFonts w:asciiTheme="majorHAnsi" w:hAnsiTheme="majorHAnsi" w:cstheme="majorHAnsi"/>
        </w:rPr>
        <w:t xml:space="preserve"> con cada cambio de </w:t>
      </w:r>
      <w:r>
        <w:rPr>
          <w:rFonts w:asciiTheme="majorHAnsi" w:hAnsiTheme="majorHAnsi" w:cstheme="majorHAnsi"/>
        </w:rPr>
        <w:t>jefatura</w:t>
      </w:r>
      <w:r w:rsidR="00330F54">
        <w:rPr>
          <w:rFonts w:asciiTheme="majorHAnsi" w:hAnsiTheme="majorHAnsi" w:cstheme="majorHAnsi"/>
        </w:rPr>
        <w:t xml:space="preserve">, mostrando que </w:t>
      </w:r>
      <w:r w:rsidRPr="00CC192F">
        <w:rPr>
          <w:rFonts w:asciiTheme="majorHAnsi" w:hAnsiTheme="majorHAnsi" w:cstheme="majorHAnsi"/>
        </w:rPr>
        <w:t xml:space="preserve">la personalización de </w:t>
      </w:r>
      <w:r w:rsidR="00330F54">
        <w:rPr>
          <w:rFonts w:asciiTheme="majorHAnsi" w:hAnsiTheme="majorHAnsi" w:cstheme="majorHAnsi"/>
        </w:rPr>
        <w:t>las relaciones, más allá de ser</w:t>
      </w:r>
      <w:r w:rsidRPr="00CC192F">
        <w:rPr>
          <w:rFonts w:asciiTheme="majorHAnsi" w:hAnsiTheme="majorHAnsi" w:cstheme="majorHAnsi"/>
        </w:rPr>
        <w:t xml:space="preserve"> un </w:t>
      </w:r>
      <w:r w:rsidR="00330F54">
        <w:rPr>
          <w:rFonts w:asciiTheme="majorHAnsi" w:hAnsiTheme="majorHAnsi" w:cstheme="majorHAnsi"/>
        </w:rPr>
        <w:t>elemento contextual</w:t>
      </w:r>
      <w:r w:rsidRPr="00CC192F">
        <w:rPr>
          <w:rFonts w:asciiTheme="majorHAnsi" w:hAnsiTheme="majorHAnsi" w:cstheme="majorHAnsi"/>
        </w:rPr>
        <w:t xml:space="preserve">, </w:t>
      </w:r>
      <w:r w:rsidR="00330F54">
        <w:rPr>
          <w:rFonts w:asciiTheme="majorHAnsi" w:hAnsiTheme="majorHAnsi" w:cstheme="majorHAnsi"/>
        </w:rPr>
        <w:t>son</w:t>
      </w:r>
      <w:r w:rsidRPr="00CC192F">
        <w:rPr>
          <w:rFonts w:asciiTheme="majorHAnsi" w:hAnsiTheme="majorHAnsi" w:cstheme="majorHAnsi"/>
        </w:rPr>
        <w:t xml:space="preserve"> el resultado de esa rotación.</w:t>
      </w:r>
    </w:p>
    <w:p w14:paraId="49D3553E" w14:textId="77777777" w:rsidR="00330F54" w:rsidRDefault="00CC192F" w:rsidP="00CC192F">
      <w:pPr>
        <w:pBdr>
          <w:top w:val="nil"/>
          <w:left w:val="nil"/>
          <w:bottom w:val="nil"/>
          <w:right w:val="nil"/>
          <w:between w:val="nil"/>
        </w:pBdr>
        <w:spacing w:before="240" w:after="0"/>
        <w:jc w:val="both"/>
        <w:rPr>
          <w:rFonts w:asciiTheme="majorHAnsi" w:hAnsiTheme="majorHAnsi" w:cstheme="majorHAnsi"/>
        </w:rPr>
      </w:pPr>
      <w:r w:rsidRPr="00CC192F">
        <w:rPr>
          <w:rFonts w:asciiTheme="majorHAnsi" w:hAnsiTheme="majorHAnsi" w:cstheme="majorHAnsi"/>
        </w:rPr>
        <w:t>La estrategia del MME</w:t>
      </w:r>
      <w:r w:rsidR="00330F54">
        <w:rPr>
          <w:rFonts w:asciiTheme="majorHAnsi" w:hAnsiTheme="majorHAnsi" w:cstheme="majorHAnsi"/>
        </w:rPr>
        <w:t xml:space="preserve">, basada en el </w:t>
      </w:r>
      <w:r w:rsidRPr="00CC192F">
        <w:rPr>
          <w:rFonts w:asciiTheme="majorHAnsi" w:hAnsiTheme="majorHAnsi" w:cstheme="majorHAnsi"/>
        </w:rPr>
        <w:t>análisis composicional, monitoreo, relacionamiento, gestión de amenazas y colaboración</w:t>
      </w:r>
      <w:r w:rsidR="00330F54">
        <w:rPr>
          <w:rFonts w:asciiTheme="majorHAnsi" w:hAnsiTheme="majorHAnsi" w:cstheme="majorHAnsi"/>
        </w:rPr>
        <w:t xml:space="preserve">, </w:t>
      </w:r>
      <w:r w:rsidRPr="00CC192F">
        <w:rPr>
          <w:rFonts w:asciiTheme="majorHAnsi" w:hAnsiTheme="majorHAnsi" w:cstheme="majorHAnsi"/>
        </w:rPr>
        <w:t xml:space="preserve">conforman una arquitectura </w:t>
      </w:r>
      <w:r w:rsidR="00330F54">
        <w:rPr>
          <w:rFonts w:asciiTheme="majorHAnsi" w:hAnsiTheme="majorHAnsi" w:cstheme="majorHAnsi"/>
        </w:rPr>
        <w:t>sólida</w:t>
      </w:r>
      <w:r w:rsidRPr="00CC192F">
        <w:rPr>
          <w:rFonts w:asciiTheme="majorHAnsi" w:hAnsiTheme="majorHAnsi" w:cstheme="majorHAnsi"/>
        </w:rPr>
        <w:t>, coherente con la tipología de Rhodes (1990) sobre el intercambio de recursos técnicos, políticos y reputacionales en redes de política pública. Sin embargo, esa arquitectura es estática y no resiste los choques exógenos</w:t>
      </w:r>
      <w:r w:rsidR="00330F54">
        <w:rPr>
          <w:rFonts w:asciiTheme="majorHAnsi" w:hAnsiTheme="majorHAnsi" w:cstheme="majorHAnsi"/>
        </w:rPr>
        <w:t xml:space="preserve">, como </w:t>
      </w:r>
      <w:r w:rsidRPr="00CC192F">
        <w:rPr>
          <w:rFonts w:asciiTheme="majorHAnsi" w:hAnsiTheme="majorHAnsi" w:cstheme="majorHAnsi"/>
        </w:rPr>
        <w:t xml:space="preserve">el mapeo de bancadas </w:t>
      </w:r>
      <w:r w:rsidR="00330F54">
        <w:rPr>
          <w:rFonts w:asciiTheme="majorHAnsi" w:hAnsiTheme="majorHAnsi" w:cstheme="majorHAnsi"/>
        </w:rPr>
        <w:t xml:space="preserve">que </w:t>
      </w:r>
      <w:r w:rsidRPr="00CC192F">
        <w:rPr>
          <w:rFonts w:asciiTheme="majorHAnsi" w:hAnsiTheme="majorHAnsi" w:cstheme="majorHAnsi"/>
        </w:rPr>
        <w:t>quedó invalidado por la ruptura de la coalición de abril de 2023</w:t>
      </w:r>
      <w:r w:rsidR="00330F54">
        <w:rPr>
          <w:rFonts w:asciiTheme="majorHAnsi" w:hAnsiTheme="majorHAnsi" w:cstheme="majorHAnsi"/>
        </w:rPr>
        <w:t>. De igual forma,</w:t>
      </w:r>
      <w:r w:rsidRPr="00CC192F">
        <w:rPr>
          <w:rFonts w:asciiTheme="majorHAnsi" w:hAnsiTheme="majorHAnsi" w:cstheme="majorHAnsi"/>
        </w:rPr>
        <w:t xml:space="preserve"> el monitoreo depende de equipos que cada ministro designa discrecionalmente, fragmentando la memoria institucional con cada cambio</w:t>
      </w:r>
      <w:r w:rsidR="00330F54">
        <w:rPr>
          <w:rFonts w:asciiTheme="majorHAnsi" w:hAnsiTheme="majorHAnsi" w:cstheme="majorHAnsi"/>
        </w:rPr>
        <w:t>. E</w:t>
      </w:r>
      <w:r w:rsidRPr="00CC192F">
        <w:rPr>
          <w:rFonts w:asciiTheme="majorHAnsi" w:hAnsiTheme="majorHAnsi" w:cstheme="majorHAnsi"/>
        </w:rPr>
        <w:t>l nivel reputacional se erosion</w:t>
      </w:r>
      <w:r w:rsidR="00330F54">
        <w:rPr>
          <w:rFonts w:asciiTheme="majorHAnsi" w:hAnsiTheme="majorHAnsi" w:cstheme="majorHAnsi"/>
        </w:rPr>
        <w:t xml:space="preserve">a </w:t>
      </w:r>
      <w:r w:rsidRPr="00CC192F">
        <w:rPr>
          <w:rFonts w:asciiTheme="majorHAnsi" w:hAnsiTheme="majorHAnsi" w:cstheme="majorHAnsi"/>
        </w:rPr>
        <w:t>por señales contradictorias entre la Presidencia, el Ministerio de Hacienda y el propio MME sobre la política de hidrocarburos</w:t>
      </w:r>
      <w:r w:rsidR="00330F54">
        <w:rPr>
          <w:rFonts w:asciiTheme="majorHAnsi" w:hAnsiTheme="majorHAnsi" w:cstheme="majorHAnsi"/>
        </w:rPr>
        <w:t>. De igual forma, aunque</w:t>
      </w:r>
      <w:r w:rsidRPr="00CC192F">
        <w:rPr>
          <w:rFonts w:asciiTheme="majorHAnsi" w:hAnsiTheme="majorHAnsi" w:cstheme="majorHAnsi"/>
        </w:rPr>
        <w:t xml:space="preserve"> la gestión de amenazas</w:t>
      </w:r>
      <w:r w:rsidR="00330F54">
        <w:rPr>
          <w:rFonts w:asciiTheme="majorHAnsi" w:hAnsiTheme="majorHAnsi" w:cstheme="majorHAnsi"/>
        </w:rPr>
        <w:t xml:space="preserve"> </w:t>
      </w:r>
      <w:r w:rsidRPr="00CC192F">
        <w:rPr>
          <w:rFonts w:asciiTheme="majorHAnsi" w:hAnsiTheme="majorHAnsi" w:cstheme="majorHAnsi"/>
        </w:rPr>
        <w:t xml:space="preserve">supera las prácticas ad hoc </w:t>
      </w:r>
      <w:r w:rsidR="00330F54">
        <w:rPr>
          <w:rFonts w:asciiTheme="majorHAnsi" w:hAnsiTheme="majorHAnsi" w:cstheme="majorHAnsi"/>
        </w:rPr>
        <w:t>utilizando herramientas como</w:t>
      </w:r>
      <w:r w:rsidRPr="00CC192F">
        <w:rPr>
          <w:rFonts w:asciiTheme="majorHAnsi" w:hAnsiTheme="majorHAnsi" w:cstheme="majorHAnsi"/>
        </w:rPr>
        <w:t xml:space="preserve"> </w:t>
      </w:r>
      <w:r w:rsidR="00330F54">
        <w:rPr>
          <w:rFonts w:asciiTheme="majorHAnsi" w:hAnsiTheme="majorHAnsi" w:cstheme="majorHAnsi"/>
        </w:rPr>
        <w:t>l</w:t>
      </w:r>
      <w:r w:rsidRPr="00CC192F">
        <w:rPr>
          <w:rFonts w:asciiTheme="majorHAnsi" w:hAnsiTheme="majorHAnsi" w:cstheme="majorHAnsi"/>
        </w:rPr>
        <w:t xml:space="preserve">a matriz de riesgo legislativo, </w:t>
      </w:r>
      <w:r w:rsidR="00330F54">
        <w:rPr>
          <w:rFonts w:asciiTheme="majorHAnsi" w:hAnsiTheme="majorHAnsi" w:cstheme="majorHAnsi"/>
        </w:rPr>
        <w:t xml:space="preserve">la estrategia parece </w:t>
      </w:r>
      <w:r w:rsidRPr="00CC192F">
        <w:rPr>
          <w:rFonts w:asciiTheme="majorHAnsi" w:hAnsiTheme="majorHAnsi" w:cstheme="majorHAnsi"/>
        </w:rPr>
        <w:t>orientada a la contención reactiva, sin</w:t>
      </w:r>
      <w:r w:rsidR="00330F54">
        <w:rPr>
          <w:rFonts w:asciiTheme="majorHAnsi" w:hAnsiTheme="majorHAnsi" w:cstheme="majorHAnsi"/>
        </w:rPr>
        <w:t xml:space="preserve"> tener en cuenta la </w:t>
      </w:r>
      <w:r w:rsidRPr="00CC192F">
        <w:rPr>
          <w:rFonts w:asciiTheme="majorHAnsi" w:hAnsiTheme="majorHAnsi" w:cstheme="majorHAnsi"/>
        </w:rPr>
        <w:t xml:space="preserve">construcción proactiva de consensos. </w:t>
      </w:r>
    </w:p>
    <w:p w14:paraId="2EE34534" w14:textId="1F912712" w:rsidR="00CC192F" w:rsidRPr="00CC192F" w:rsidRDefault="00330F54" w:rsidP="00CC192F">
      <w:pPr>
        <w:pBdr>
          <w:top w:val="nil"/>
          <w:left w:val="nil"/>
          <w:bottom w:val="nil"/>
          <w:right w:val="nil"/>
          <w:between w:val="nil"/>
        </w:pBdr>
        <w:spacing w:before="240" w:after="0"/>
        <w:jc w:val="both"/>
        <w:rPr>
          <w:rFonts w:asciiTheme="majorHAnsi" w:hAnsiTheme="majorHAnsi" w:cstheme="majorHAnsi"/>
        </w:rPr>
      </w:pPr>
      <w:r>
        <w:rPr>
          <w:rFonts w:asciiTheme="majorHAnsi" w:hAnsiTheme="majorHAnsi" w:cstheme="majorHAnsi"/>
        </w:rPr>
        <w:t xml:space="preserve">De esta forma, la </w:t>
      </w:r>
      <w:r w:rsidR="00CC192F" w:rsidRPr="00CC192F">
        <w:rPr>
          <w:rFonts w:asciiTheme="majorHAnsi" w:hAnsiTheme="majorHAnsi" w:cstheme="majorHAnsi"/>
        </w:rPr>
        <w:t>ausencia de métricas de evaluación, de un protocolo de transición ministerial, de coordinación interinstitucional explícit</w:t>
      </w:r>
      <w:r>
        <w:rPr>
          <w:rFonts w:asciiTheme="majorHAnsi" w:hAnsiTheme="majorHAnsi" w:cstheme="majorHAnsi"/>
        </w:rPr>
        <w:t xml:space="preserve">a </w:t>
      </w:r>
      <w:r w:rsidR="00CC192F" w:rsidRPr="00CC192F">
        <w:rPr>
          <w:rFonts w:asciiTheme="majorHAnsi" w:hAnsiTheme="majorHAnsi" w:cstheme="majorHAnsi"/>
        </w:rPr>
        <w:t>y de una distinción entre agenda legislativa ofensiva y defensiva</w:t>
      </w:r>
      <w:r>
        <w:rPr>
          <w:rFonts w:asciiTheme="majorHAnsi" w:hAnsiTheme="majorHAnsi" w:cstheme="majorHAnsi"/>
        </w:rPr>
        <w:t>,</w:t>
      </w:r>
      <w:r w:rsidR="00CC192F" w:rsidRPr="00CC192F">
        <w:rPr>
          <w:rFonts w:asciiTheme="majorHAnsi" w:hAnsiTheme="majorHAnsi" w:cstheme="majorHAnsi"/>
        </w:rPr>
        <w:t xml:space="preserve"> evidencian que el ASL opera, en su forma actual, como un instrumento </w:t>
      </w:r>
      <w:r>
        <w:rPr>
          <w:rFonts w:asciiTheme="majorHAnsi" w:hAnsiTheme="majorHAnsi" w:cstheme="majorHAnsi"/>
        </w:rPr>
        <w:t>con falencias importantes</w:t>
      </w:r>
      <w:r w:rsidR="00CC192F" w:rsidRPr="00CC192F">
        <w:rPr>
          <w:rFonts w:asciiTheme="majorHAnsi" w:hAnsiTheme="majorHAnsi" w:cstheme="majorHAnsi"/>
        </w:rPr>
        <w:t>: identifica actores y riesgos, pero no los convierte en aprendizaje institucional acumulable, replicando en el plano micro la misma lógica de juego bilateral de vetos diagnosticada en el plano macro.</w:t>
      </w:r>
    </w:p>
    <w:p w14:paraId="5FE2B9A0" w14:textId="1946D420" w:rsidR="00CC192F" w:rsidRPr="00CC192F" w:rsidRDefault="00330F54" w:rsidP="00CC192F">
      <w:pPr>
        <w:pBdr>
          <w:top w:val="nil"/>
          <w:left w:val="nil"/>
          <w:bottom w:val="nil"/>
          <w:right w:val="nil"/>
          <w:between w:val="nil"/>
        </w:pBdr>
        <w:spacing w:before="240" w:after="0"/>
        <w:jc w:val="both"/>
        <w:rPr>
          <w:rFonts w:asciiTheme="majorHAnsi" w:hAnsiTheme="majorHAnsi" w:cstheme="majorHAnsi"/>
        </w:rPr>
      </w:pPr>
      <w:r>
        <w:rPr>
          <w:rFonts w:asciiTheme="majorHAnsi" w:hAnsiTheme="majorHAnsi" w:cstheme="majorHAnsi"/>
        </w:rPr>
        <w:t>Por otra parte, e</w:t>
      </w:r>
      <w:r w:rsidR="00CC192F" w:rsidRPr="00CC192F">
        <w:rPr>
          <w:rFonts w:asciiTheme="majorHAnsi" w:hAnsiTheme="majorHAnsi" w:cstheme="majorHAnsi"/>
        </w:rPr>
        <w:t>l ejercicio comparado con Brasil, Chile y México muestra que, incluso con</w:t>
      </w:r>
      <w:r>
        <w:rPr>
          <w:rFonts w:asciiTheme="majorHAnsi" w:hAnsiTheme="majorHAnsi" w:cstheme="majorHAnsi"/>
        </w:rPr>
        <w:t xml:space="preserve"> una</w:t>
      </w:r>
      <w:r w:rsidR="00CC192F" w:rsidRPr="00CC192F">
        <w:rPr>
          <w:rFonts w:asciiTheme="majorHAnsi" w:hAnsiTheme="majorHAnsi" w:cstheme="majorHAnsi"/>
        </w:rPr>
        <w:t xml:space="preserve"> fragmentación partidista más severa que la colombiana, </w:t>
      </w:r>
      <w:r>
        <w:rPr>
          <w:rFonts w:asciiTheme="majorHAnsi" w:hAnsiTheme="majorHAnsi" w:cstheme="majorHAnsi"/>
        </w:rPr>
        <w:t>en un país como Brasil, la institucionalización del</w:t>
      </w:r>
      <w:r w:rsidR="00CC192F" w:rsidRPr="00CC192F">
        <w:rPr>
          <w:rFonts w:asciiTheme="majorHAnsi" w:hAnsiTheme="majorHAnsi" w:cstheme="majorHAnsi"/>
        </w:rPr>
        <w:t xml:space="preserve"> consenso ex ante </w:t>
      </w:r>
      <w:r>
        <w:rPr>
          <w:rFonts w:asciiTheme="majorHAnsi" w:hAnsiTheme="majorHAnsi" w:cstheme="majorHAnsi"/>
        </w:rPr>
        <w:t xml:space="preserve">(gracias al </w:t>
      </w:r>
      <w:r w:rsidR="00CC192F" w:rsidRPr="00CC192F">
        <w:rPr>
          <w:rFonts w:asciiTheme="majorHAnsi" w:hAnsiTheme="majorHAnsi" w:cstheme="majorHAnsi"/>
        </w:rPr>
        <w:t>FONTE), el CNPE y el CONLE</w:t>
      </w:r>
      <w:r>
        <w:rPr>
          <w:rFonts w:asciiTheme="majorHAnsi" w:hAnsiTheme="majorHAnsi" w:cstheme="majorHAnsi"/>
        </w:rPr>
        <w:t>),</w:t>
      </w:r>
      <w:r w:rsidR="00CC192F" w:rsidRPr="00CC192F">
        <w:rPr>
          <w:rFonts w:asciiTheme="majorHAnsi" w:hAnsiTheme="majorHAnsi" w:cstheme="majorHAnsi"/>
        </w:rPr>
        <w:t xml:space="preserve"> reducen </w:t>
      </w:r>
      <w:r>
        <w:rPr>
          <w:rFonts w:asciiTheme="majorHAnsi" w:hAnsiTheme="majorHAnsi" w:cstheme="majorHAnsi"/>
        </w:rPr>
        <w:t>significativamente</w:t>
      </w:r>
      <w:r w:rsidR="00CC192F" w:rsidRPr="00CC192F">
        <w:rPr>
          <w:rFonts w:asciiTheme="majorHAnsi" w:hAnsiTheme="majorHAnsi" w:cstheme="majorHAnsi"/>
        </w:rPr>
        <w:t xml:space="preserve"> los costos de transacción al desplazar la negociación hacia una etapa previa de construcción técnica y política compartida. </w:t>
      </w:r>
      <w:r>
        <w:rPr>
          <w:rFonts w:asciiTheme="majorHAnsi" w:hAnsiTheme="majorHAnsi" w:cstheme="majorHAnsi"/>
        </w:rPr>
        <w:t>El caso de C</w:t>
      </w:r>
      <w:r w:rsidR="00CC192F" w:rsidRPr="00CC192F">
        <w:rPr>
          <w:rFonts w:asciiTheme="majorHAnsi" w:hAnsiTheme="majorHAnsi" w:cstheme="majorHAnsi"/>
        </w:rPr>
        <w:t xml:space="preserve">hile evidencia que la capacidad técnica legislativa autónoma, sostenida por </w:t>
      </w:r>
      <w:r>
        <w:rPr>
          <w:rFonts w:asciiTheme="majorHAnsi" w:hAnsiTheme="majorHAnsi" w:cstheme="majorHAnsi"/>
        </w:rPr>
        <w:t>organismos como la</w:t>
      </w:r>
      <w:r w:rsidR="00CC192F" w:rsidRPr="00CC192F">
        <w:rPr>
          <w:rFonts w:asciiTheme="majorHAnsi" w:hAnsiTheme="majorHAnsi" w:cstheme="majorHAnsi"/>
        </w:rPr>
        <w:t xml:space="preserve"> Biblioteca del Congreso Nacional y las Asesorías Técnicas Parlamentarias, reduce las asimetrías de información que la teoría principal-agente identifica como fuente central de costos de agencia, permitiendo </w:t>
      </w:r>
      <w:r>
        <w:rPr>
          <w:rFonts w:asciiTheme="majorHAnsi" w:hAnsiTheme="majorHAnsi" w:cstheme="majorHAnsi"/>
        </w:rPr>
        <w:t xml:space="preserve">que exista </w:t>
      </w:r>
      <w:r w:rsidR="00CC192F" w:rsidRPr="00CC192F">
        <w:rPr>
          <w:rFonts w:asciiTheme="majorHAnsi" w:hAnsiTheme="majorHAnsi" w:cstheme="majorHAnsi"/>
        </w:rPr>
        <w:t xml:space="preserve">un Congreso informado y no meramente reactivo. </w:t>
      </w:r>
      <w:r>
        <w:rPr>
          <w:rFonts w:asciiTheme="majorHAnsi" w:hAnsiTheme="majorHAnsi" w:cstheme="majorHAnsi"/>
        </w:rPr>
        <w:t xml:space="preserve">Por su parte, </w:t>
      </w:r>
      <w:r w:rsidR="00CC192F" w:rsidRPr="00CC192F">
        <w:rPr>
          <w:rFonts w:asciiTheme="majorHAnsi" w:hAnsiTheme="majorHAnsi" w:cstheme="majorHAnsi"/>
        </w:rPr>
        <w:t xml:space="preserve">México ofrece una lección </w:t>
      </w:r>
      <w:r>
        <w:rPr>
          <w:rFonts w:asciiTheme="majorHAnsi" w:hAnsiTheme="majorHAnsi" w:cstheme="majorHAnsi"/>
        </w:rPr>
        <w:t>de atención</w:t>
      </w:r>
      <w:r w:rsidR="00CC192F" w:rsidRPr="00CC192F">
        <w:rPr>
          <w:rFonts w:asciiTheme="majorHAnsi" w:hAnsiTheme="majorHAnsi" w:cstheme="majorHAnsi"/>
        </w:rPr>
        <w:t xml:space="preserve"> distint</w:t>
      </w:r>
      <w:r>
        <w:rPr>
          <w:rFonts w:asciiTheme="majorHAnsi" w:hAnsiTheme="majorHAnsi" w:cstheme="majorHAnsi"/>
        </w:rPr>
        <w:t>a</w:t>
      </w:r>
      <w:r w:rsidR="00CC192F" w:rsidRPr="00CC192F">
        <w:rPr>
          <w:rFonts w:asciiTheme="majorHAnsi" w:hAnsiTheme="majorHAnsi" w:cstheme="majorHAnsi"/>
        </w:rPr>
        <w:t xml:space="preserve">: la reducción de veto players mediante mayorías legislativas </w:t>
      </w:r>
      <w:r w:rsidR="00CC192F" w:rsidRPr="00CC192F">
        <w:rPr>
          <w:rFonts w:asciiTheme="majorHAnsi" w:hAnsiTheme="majorHAnsi" w:cstheme="majorHAnsi"/>
        </w:rPr>
        <w:lastRenderedPageBreak/>
        <w:t xml:space="preserve">amplias </w:t>
      </w:r>
      <w:r>
        <w:rPr>
          <w:rFonts w:asciiTheme="majorHAnsi" w:hAnsiTheme="majorHAnsi" w:cstheme="majorHAnsi"/>
        </w:rPr>
        <w:t xml:space="preserve">puede </w:t>
      </w:r>
      <w:r w:rsidR="00CC192F" w:rsidRPr="00CC192F">
        <w:rPr>
          <w:rFonts w:asciiTheme="majorHAnsi" w:hAnsiTheme="majorHAnsi" w:cstheme="majorHAnsi"/>
        </w:rPr>
        <w:t>acelera</w:t>
      </w:r>
      <w:r>
        <w:rPr>
          <w:rFonts w:asciiTheme="majorHAnsi" w:hAnsiTheme="majorHAnsi" w:cstheme="majorHAnsi"/>
        </w:rPr>
        <w:t>r</w:t>
      </w:r>
      <w:r w:rsidR="00CC192F" w:rsidRPr="00CC192F">
        <w:rPr>
          <w:rFonts w:asciiTheme="majorHAnsi" w:hAnsiTheme="majorHAnsi" w:cstheme="majorHAnsi"/>
        </w:rPr>
        <w:t xml:space="preserve"> la aprobación normativa, pero no garantiza la calidad ni la sostenibilidad de la política cuando esa velocidad no va acompañada de evaluación técnica ex ante ni de escrutinio legislativo, como muestran las controversias que siguieron a la reforma energética de 2013 y a los ajustes de 2024.</w:t>
      </w:r>
    </w:p>
    <w:p w14:paraId="17F811E2" w14:textId="60651576" w:rsidR="00CC192F" w:rsidRPr="00CC192F" w:rsidRDefault="00CC192F" w:rsidP="00CC192F">
      <w:pPr>
        <w:pBdr>
          <w:top w:val="nil"/>
          <w:left w:val="nil"/>
          <w:bottom w:val="nil"/>
          <w:right w:val="nil"/>
          <w:between w:val="nil"/>
        </w:pBdr>
        <w:spacing w:before="240" w:after="0"/>
        <w:jc w:val="both"/>
        <w:rPr>
          <w:rFonts w:asciiTheme="majorHAnsi" w:hAnsiTheme="majorHAnsi" w:cstheme="majorHAnsi"/>
        </w:rPr>
      </w:pPr>
      <w:r w:rsidRPr="00CC192F">
        <w:rPr>
          <w:rFonts w:asciiTheme="majorHAnsi" w:hAnsiTheme="majorHAnsi" w:cstheme="majorHAnsi"/>
        </w:rPr>
        <w:t>Est</w:t>
      </w:r>
      <w:r w:rsidR="00330F54">
        <w:rPr>
          <w:rFonts w:asciiTheme="majorHAnsi" w:hAnsiTheme="majorHAnsi" w:cstheme="majorHAnsi"/>
        </w:rPr>
        <w:t xml:space="preserve">os hallazgos </w:t>
      </w:r>
      <w:r w:rsidRPr="00CC192F">
        <w:rPr>
          <w:rFonts w:asciiTheme="majorHAnsi" w:hAnsiTheme="majorHAnsi" w:cstheme="majorHAnsi"/>
        </w:rPr>
        <w:t xml:space="preserve">permiten identificar los vacíos funcionales del ASL colombiano: la ausencia de una arena equivalente al FONTE o al CNPE brasileño para construir consenso técnico-político antes de radicar iniciativas; la ausencia de una capacidad técnica legislativa autónoma equivalente a la BCN o las ATP chilenas, que reduzca la dependencia informativa del Congreso frente al Ejecutivo y fortalezca la posición negociadora del propio MME; y la advertencia mexicana de que la sola reducción de veto players no sustituye un ASL institucionalizado, </w:t>
      </w:r>
      <w:r w:rsidR="00330F54">
        <w:rPr>
          <w:rFonts w:asciiTheme="majorHAnsi" w:hAnsiTheme="majorHAnsi" w:cstheme="majorHAnsi"/>
        </w:rPr>
        <w:t>en tanto que,</w:t>
      </w:r>
      <w:r w:rsidRPr="00CC192F">
        <w:rPr>
          <w:rFonts w:asciiTheme="majorHAnsi" w:hAnsiTheme="majorHAnsi" w:cstheme="majorHAnsi"/>
        </w:rPr>
        <w:t xml:space="preserve"> sin métricas ni coordinación interinstitucional, incluso un Congreso más favorable a la TEJ podría producir normas de baja calidad técnica.</w:t>
      </w:r>
    </w:p>
    <w:p w14:paraId="0B3830E6" w14:textId="77777777" w:rsidR="009F70C8" w:rsidRDefault="009F70C8" w:rsidP="00CC192F">
      <w:pPr>
        <w:pBdr>
          <w:top w:val="nil"/>
          <w:left w:val="nil"/>
          <w:bottom w:val="nil"/>
          <w:right w:val="nil"/>
          <w:between w:val="nil"/>
        </w:pBdr>
        <w:spacing w:before="240" w:after="0"/>
        <w:jc w:val="both"/>
        <w:rPr>
          <w:rFonts w:asciiTheme="majorHAnsi" w:hAnsiTheme="majorHAnsi" w:cstheme="majorHAnsi"/>
        </w:rPr>
      </w:pPr>
      <w:r>
        <w:rPr>
          <w:rFonts w:asciiTheme="majorHAnsi" w:hAnsiTheme="majorHAnsi" w:cstheme="majorHAnsi"/>
        </w:rPr>
        <w:t>De esta manera, este apartado permite confirmar</w:t>
      </w:r>
      <w:r w:rsidR="00CC192F" w:rsidRPr="00CC192F">
        <w:rPr>
          <w:rFonts w:asciiTheme="majorHAnsi" w:hAnsiTheme="majorHAnsi" w:cstheme="majorHAnsi"/>
        </w:rPr>
        <w:t xml:space="preserve"> la hipótesis </w:t>
      </w:r>
      <w:r>
        <w:rPr>
          <w:rFonts w:asciiTheme="majorHAnsi" w:hAnsiTheme="majorHAnsi" w:cstheme="majorHAnsi"/>
        </w:rPr>
        <w:t>de manera preliminar</w:t>
      </w:r>
      <w:r w:rsidR="00CC192F" w:rsidRPr="00CC192F">
        <w:rPr>
          <w:rFonts w:asciiTheme="majorHAnsi" w:hAnsiTheme="majorHAnsi" w:cstheme="majorHAnsi"/>
        </w:rPr>
        <w:t>: la debilidad del ASL es una cadena causal identificable que va desde el diseño constitucional sin mecanismos de coalición formal, pasa por la ausencia de protocolos de actualización, métricas y transferencia de conocimiento ministerial en la práctica administrativa del MME, y se confirma al observar que los países de la región que sí han mitigado estos costos de transacción lo han hecho mediante arreglos institucionales específicos y replicables que el caso colombiano no posee.</w:t>
      </w:r>
    </w:p>
    <w:p w14:paraId="22D2CE04" w14:textId="1949EA6E" w:rsidR="00CC192F" w:rsidRPr="00CC192F" w:rsidRDefault="00DD57B0" w:rsidP="00CC192F">
      <w:pPr>
        <w:pBdr>
          <w:top w:val="nil"/>
          <w:left w:val="nil"/>
          <w:bottom w:val="nil"/>
          <w:right w:val="nil"/>
          <w:between w:val="nil"/>
        </w:pBdr>
        <w:spacing w:before="240" w:after="0"/>
        <w:jc w:val="both"/>
        <w:rPr>
          <w:rFonts w:asciiTheme="majorHAnsi" w:hAnsiTheme="majorHAnsi" w:cstheme="majorHAnsi"/>
        </w:rPr>
      </w:pPr>
      <w:r>
        <w:rPr>
          <w:rFonts w:asciiTheme="majorHAnsi" w:hAnsiTheme="majorHAnsi" w:cstheme="majorHAnsi"/>
        </w:rPr>
        <w:t>F</w:t>
      </w:r>
      <w:r w:rsidR="00CC192F" w:rsidRPr="00CC192F">
        <w:rPr>
          <w:rFonts w:asciiTheme="majorHAnsi" w:hAnsiTheme="majorHAnsi" w:cstheme="majorHAnsi"/>
        </w:rPr>
        <w:t xml:space="preserve">ortalecer el </w:t>
      </w:r>
      <w:r>
        <w:rPr>
          <w:rFonts w:asciiTheme="majorHAnsi" w:hAnsiTheme="majorHAnsi" w:cstheme="majorHAnsi"/>
        </w:rPr>
        <w:t>análisis sectorial legislativo</w:t>
      </w:r>
      <w:r w:rsidR="00CC192F" w:rsidRPr="00CC192F">
        <w:rPr>
          <w:rFonts w:asciiTheme="majorHAnsi" w:hAnsiTheme="majorHAnsi" w:cstheme="majorHAnsi"/>
        </w:rPr>
        <w:t xml:space="preserve"> del MME requiere formalizar un protocolo de actualización del análisis composicional, incorporar métricas de evaluación, diseñar un protocolo de transferencia de conocimiento ante cada cambio ministerial, y establecer coordinación interinstitucional y diferenciación entre agenda legislativa ofensiva y defensiva</w:t>
      </w:r>
      <w:r>
        <w:rPr>
          <w:rFonts w:asciiTheme="majorHAnsi" w:hAnsiTheme="majorHAnsi" w:cstheme="majorHAnsi"/>
        </w:rPr>
        <w:t xml:space="preserve">, </w:t>
      </w:r>
      <w:r w:rsidR="00CC192F" w:rsidRPr="00CC192F">
        <w:rPr>
          <w:rFonts w:asciiTheme="majorHAnsi" w:hAnsiTheme="majorHAnsi" w:cstheme="majorHAnsi"/>
        </w:rPr>
        <w:t>recomendaciones que, a la luz de las lecciones comparadas de Brasil y Chile, apuntan hacia la institucionalización de arenas de consenso ex ante y el fortalecimiento de la capacidad técnica disponible para el Ejecutivo y el Legislativo, en lugar de depender de la habilidad negociadora individual de cada ministro de turno.</w:t>
      </w:r>
    </w:p>
    <w:p w14:paraId="46542E06" w14:textId="0DE7023C" w:rsidR="00FF7AC3" w:rsidRDefault="00DD57B0" w:rsidP="00DD57B0">
      <w:pPr>
        <w:pBdr>
          <w:top w:val="nil"/>
          <w:left w:val="nil"/>
          <w:bottom w:val="nil"/>
          <w:right w:val="nil"/>
          <w:between w:val="nil"/>
        </w:pBdr>
        <w:spacing w:before="240" w:after="0"/>
        <w:jc w:val="both"/>
        <w:rPr>
          <w:rFonts w:asciiTheme="majorHAnsi" w:hAnsiTheme="majorHAnsi" w:cstheme="majorHAnsi"/>
        </w:rPr>
      </w:pPr>
      <w:r>
        <w:rPr>
          <w:rFonts w:asciiTheme="majorHAnsi" w:hAnsiTheme="majorHAnsi" w:cstheme="majorHAnsi"/>
        </w:rPr>
        <w:t>A modo de cierre, es posible indicar que</w:t>
      </w:r>
      <w:r w:rsidR="00CC192F" w:rsidRPr="00CC192F">
        <w:rPr>
          <w:rFonts w:asciiTheme="majorHAnsi" w:hAnsiTheme="majorHAnsi" w:cstheme="majorHAnsi"/>
        </w:rPr>
        <w:t xml:space="preserve"> la relación entre el MME y el Congreso en materia de transición energética justa no es fragmentada y personalista por una supuesta idiosincrasia política colombiana, sino </w:t>
      </w:r>
      <w:r>
        <w:rPr>
          <w:rFonts w:asciiTheme="majorHAnsi" w:hAnsiTheme="majorHAnsi" w:cstheme="majorHAnsi"/>
        </w:rPr>
        <w:t xml:space="preserve">que éste fenómeno es </w:t>
      </w:r>
      <w:r w:rsidR="00CC192F" w:rsidRPr="00CC192F">
        <w:rPr>
          <w:rFonts w:asciiTheme="majorHAnsi" w:hAnsiTheme="majorHAnsi" w:cstheme="majorHAnsi"/>
        </w:rPr>
        <w:t>el resultado de la interacción entre un diseño constitucional que multiplica los actores de veto, una práctica administrativa que no institucionaliza el aprendizaje legislativo acumulado, y la ausencia de arreglos comparados que</w:t>
      </w:r>
      <w:r>
        <w:rPr>
          <w:rFonts w:asciiTheme="majorHAnsi" w:hAnsiTheme="majorHAnsi" w:cstheme="majorHAnsi"/>
        </w:rPr>
        <w:t>,</w:t>
      </w:r>
      <w:r w:rsidR="00CC192F" w:rsidRPr="00CC192F">
        <w:rPr>
          <w:rFonts w:asciiTheme="majorHAnsi" w:hAnsiTheme="majorHAnsi" w:cstheme="majorHAnsi"/>
        </w:rPr>
        <w:t xml:space="preserve"> en otros países de la región</w:t>
      </w:r>
      <w:r>
        <w:rPr>
          <w:rFonts w:asciiTheme="majorHAnsi" w:hAnsiTheme="majorHAnsi" w:cstheme="majorHAnsi"/>
        </w:rPr>
        <w:t>,</w:t>
      </w:r>
      <w:r w:rsidR="00CC192F" w:rsidRPr="00CC192F">
        <w:rPr>
          <w:rFonts w:asciiTheme="majorHAnsi" w:hAnsiTheme="majorHAnsi" w:cstheme="majorHAnsi"/>
        </w:rPr>
        <w:t xml:space="preserve"> han reducido efectivamente los costos de transacción sin sacrificar la calidad de la política pública. </w:t>
      </w:r>
      <w:r>
        <w:rPr>
          <w:rFonts w:asciiTheme="majorHAnsi" w:hAnsiTheme="majorHAnsi" w:cstheme="majorHAnsi"/>
        </w:rPr>
        <w:t>Lo anterior</w:t>
      </w:r>
      <w:r w:rsidR="00CC192F" w:rsidRPr="00CC192F">
        <w:rPr>
          <w:rFonts w:asciiTheme="majorHAnsi" w:hAnsiTheme="majorHAnsi" w:cstheme="majorHAnsi"/>
        </w:rPr>
        <w:t xml:space="preserve"> constituye el fundamento sobre el cual </w:t>
      </w:r>
      <w:r>
        <w:rPr>
          <w:rFonts w:asciiTheme="majorHAnsi" w:hAnsiTheme="majorHAnsi" w:cstheme="majorHAnsi"/>
        </w:rPr>
        <w:t>se hace necesario construir</w:t>
      </w:r>
      <w:r w:rsidR="00CC192F" w:rsidRPr="00CC192F">
        <w:rPr>
          <w:rFonts w:asciiTheme="majorHAnsi" w:hAnsiTheme="majorHAnsi" w:cstheme="majorHAnsi"/>
        </w:rPr>
        <w:t xml:space="preserve"> una estrategia institucional de relacionamiento legislativo orientada a superar las debilidades transversales identificadas, incorporando las lecciones del análisis comparado con Brasil, Chile y México</w:t>
      </w:r>
      <w:r w:rsidR="00313E51" w:rsidRPr="00313E51">
        <w:rPr>
          <w:rFonts w:asciiTheme="majorHAnsi" w:hAnsiTheme="majorHAnsi" w:cstheme="majorHAnsi"/>
        </w:rPr>
        <w:t>.</w:t>
      </w:r>
    </w:p>
    <w:p w14:paraId="724D70F7" w14:textId="1FF3A446" w:rsidR="00DD57B0" w:rsidRDefault="00DD57B0" w:rsidP="00DD57B0">
      <w:pPr>
        <w:pBdr>
          <w:top w:val="nil"/>
          <w:left w:val="nil"/>
          <w:bottom w:val="nil"/>
          <w:right w:val="nil"/>
          <w:between w:val="nil"/>
        </w:pBdr>
        <w:spacing w:before="240" w:after="0"/>
        <w:jc w:val="both"/>
        <w:rPr>
          <w:rFonts w:asciiTheme="majorHAnsi" w:hAnsiTheme="majorHAnsi" w:cstheme="majorHAnsi"/>
        </w:rPr>
      </w:pPr>
    </w:p>
    <w:p w14:paraId="60F1E4AC" w14:textId="77777777" w:rsidR="00DD57B0" w:rsidRPr="00CD0C90" w:rsidRDefault="00DD57B0" w:rsidP="00DD57B0">
      <w:pPr>
        <w:pBdr>
          <w:top w:val="nil"/>
          <w:left w:val="nil"/>
          <w:bottom w:val="nil"/>
          <w:right w:val="nil"/>
          <w:between w:val="nil"/>
        </w:pBdr>
        <w:spacing w:before="240" w:after="0"/>
        <w:jc w:val="both"/>
        <w:rPr>
          <w:rFonts w:asciiTheme="majorHAnsi" w:hAnsiTheme="majorHAnsi" w:cstheme="majorHAnsi"/>
          <w:lang w:val="es-ES"/>
        </w:rPr>
      </w:pPr>
    </w:p>
    <w:p w14:paraId="7612137F" w14:textId="00D97D80" w:rsidR="00655004" w:rsidRPr="00CD0C90" w:rsidRDefault="527FBCD0" w:rsidP="00CD0C90">
      <w:pPr>
        <w:pStyle w:val="Ttulo1"/>
        <w:spacing w:line="276" w:lineRule="auto"/>
        <w:rPr>
          <w:rFonts w:asciiTheme="majorHAnsi" w:hAnsiTheme="majorHAnsi" w:cstheme="majorHAnsi"/>
          <w:sz w:val="22"/>
          <w:szCs w:val="22"/>
        </w:rPr>
      </w:pPr>
      <w:bookmarkStart w:id="59" w:name="_Toc234920371"/>
      <w:r w:rsidRPr="00CD0C90">
        <w:rPr>
          <w:rFonts w:asciiTheme="majorHAnsi" w:hAnsiTheme="majorHAnsi" w:cstheme="majorHAnsi"/>
          <w:sz w:val="22"/>
          <w:szCs w:val="22"/>
        </w:rPr>
        <w:lastRenderedPageBreak/>
        <w:t>Capítulo 2</w:t>
      </w:r>
      <w:r w:rsidR="00B829C8">
        <w:rPr>
          <w:rFonts w:asciiTheme="majorHAnsi" w:hAnsiTheme="majorHAnsi" w:cstheme="majorHAnsi"/>
          <w:sz w:val="22"/>
          <w:szCs w:val="22"/>
        </w:rPr>
        <w:t>. Análisis de</w:t>
      </w:r>
      <w:r w:rsidR="00B829C8" w:rsidRPr="00B829C8">
        <w:rPr>
          <w:rFonts w:asciiTheme="majorHAnsi" w:hAnsiTheme="majorHAnsi" w:cstheme="majorHAnsi"/>
          <w:sz w:val="22"/>
          <w:szCs w:val="22"/>
        </w:rPr>
        <w:t xml:space="preserve"> solicitudes del Congreso de la República</w:t>
      </w:r>
      <w:r w:rsidR="00B829C8">
        <w:rPr>
          <w:rFonts w:asciiTheme="majorHAnsi" w:hAnsiTheme="majorHAnsi" w:cstheme="majorHAnsi"/>
          <w:sz w:val="22"/>
          <w:szCs w:val="22"/>
        </w:rPr>
        <w:t xml:space="preserve"> al Ministerio de Minas y Energía</w:t>
      </w:r>
      <w:bookmarkEnd w:id="59"/>
    </w:p>
    <w:p w14:paraId="66376757" w14:textId="3DA7C09F" w:rsidR="00222BBC" w:rsidRPr="00CD0C90" w:rsidRDefault="5F9BBBC4" w:rsidP="00CD0C90">
      <w:pPr>
        <w:jc w:val="both"/>
        <w:rPr>
          <w:rFonts w:asciiTheme="majorHAnsi" w:hAnsiTheme="majorHAnsi" w:cstheme="majorHAnsi"/>
        </w:rPr>
      </w:pPr>
      <w:r w:rsidRPr="00CD0C90">
        <w:rPr>
          <w:rFonts w:asciiTheme="majorHAnsi" w:hAnsiTheme="majorHAnsi" w:cstheme="majorHAnsi"/>
        </w:rPr>
        <w:t>El Ministerio de Minas y Energía, en su interacción con el Congreso de la República, enfrenta obstáculos derivados de debilidades estructurales en la forma como gestiona su relacionamiento legislativo, haciendo necesaria la comprensión de las limitaciones del análisis estratégico legislativo. Por lo anterior, este capítulo se propone identificar y examinar dichas debilidades, entendidas como factores que restringen la capacidad institucional para posicionar la agenda del sector minero-energético y consolidar la política pública de transición energética. El análisis permitirá establecer cómo estas falencias condicionan la dinámica de interacción y explican la fragmentación de la relación entre ambas instancias.</w:t>
      </w:r>
    </w:p>
    <w:p w14:paraId="76846991" w14:textId="28768C3D" w:rsidR="00222BBC" w:rsidRPr="00CD0C90" w:rsidRDefault="00F51464" w:rsidP="00CD0C90">
      <w:pPr>
        <w:pStyle w:val="Ttulo2"/>
        <w:spacing w:line="276" w:lineRule="auto"/>
        <w:rPr>
          <w:rFonts w:asciiTheme="majorHAnsi" w:hAnsiTheme="majorHAnsi" w:cstheme="majorHAnsi"/>
          <w:sz w:val="22"/>
          <w:szCs w:val="22"/>
        </w:rPr>
      </w:pPr>
      <w:bookmarkStart w:id="60" w:name="_Toc234920372"/>
      <w:r w:rsidRPr="00CD0C90">
        <w:rPr>
          <w:rFonts w:asciiTheme="majorHAnsi" w:hAnsiTheme="majorHAnsi" w:cstheme="majorHAnsi"/>
          <w:sz w:val="22"/>
          <w:szCs w:val="22"/>
        </w:rPr>
        <w:t xml:space="preserve">2.1 </w:t>
      </w:r>
      <w:r w:rsidR="00222BBC" w:rsidRPr="00CD0C90">
        <w:rPr>
          <w:rFonts w:asciiTheme="majorHAnsi" w:hAnsiTheme="majorHAnsi" w:cstheme="majorHAnsi"/>
          <w:sz w:val="22"/>
          <w:szCs w:val="22"/>
        </w:rPr>
        <w:t>Análisis documental</w:t>
      </w:r>
      <w:bookmarkEnd w:id="60"/>
    </w:p>
    <w:p w14:paraId="50D2CE45"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El presente apartado tiene por objeto presentar de manera sistemática y crítica la recopilación documental y el análisis de los principales textos, debates e informes que han configurado la actividad legislativa y la relación entre el Congreso de la República y el Ministerio de Minas y Energía (MME) de Colombia durante el cuatrienio 2022-2026. Este ejercicio no se agota en una mera descripción archivística; por el contrario, busca identificar patrones de cooperación, puntos de tensión, cuellos de botella institucionales y buenas prácticas que puedan orientar una reforma de la gobernanza energética en el país.</w:t>
      </w:r>
    </w:p>
    <w:p w14:paraId="42400ACD"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El desarrollo de una Transición Energética Justa (TEJ) no es viable sin la aprobación expedita de leyes habilitantes, sin la asignación de presupuestos adecuados y sin la construcción de consensos básicos entre las ramas del poder público. Sin embargo, la dinámica legislativa colombiana ha mostrado signos de estancamiento, fragmentación y descoordinación que este apartado documenta con fuentes primarias y secundarias.</w:t>
      </w:r>
    </w:p>
    <w:p w14:paraId="2DEB3D3B"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Para cumplir dicho propósito, se ha organizado la recopilación en torno a cinco ejes metodológicos que se desarrollan a lo largo de las secciones siguientes:</w:t>
      </w:r>
    </w:p>
    <w:p w14:paraId="062A50ED" w14:textId="3A4F50B4" w:rsidR="00222BBC" w:rsidRPr="00CD0C90" w:rsidRDefault="007C40C2" w:rsidP="00CD0C90">
      <w:pPr>
        <w:pStyle w:val="Ttulo3"/>
        <w:spacing w:line="276" w:lineRule="auto"/>
        <w:rPr>
          <w:rFonts w:asciiTheme="majorHAnsi" w:hAnsiTheme="majorHAnsi" w:cstheme="majorHAnsi"/>
          <w:sz w:val="22"/>
          <w:szCs w:val="22"/>
        </w:rPr>
      </w:pPr>
      <w:bookmarkStart w:id="61" w:name="_Toc234920373"/>
      <w:r w:rsidRPr="00CD0C90">
        <w:rPr>
          <w:rFonts w:asciiTheme="majorHAnsi" w:hAnsiTheme="majorHAnsi" w:cstheme="majorHAnsi"/>
          <w:sz w:val="22"/>
          <w:szCs w:val="22"/>
        </w:rPr>
        <w:t>2.1.1</w:t>
      </w:r>
      <w:r w:rsidR="00222BBC" w:rsidRPr="00CD0C90">
        <w:rPr>
          <w:rFonts w:asciiTheme="majorHAnsi" w:hAnsiTheme="majorHAnsi" w:cstheme="majorHAnsi"/>
          <w:sz w:val="22"/>
          <w:szCs w:val="22"/>
        </w:rPr>
        <w:t xml:space="preserve"> Análisis solicitudes Grupo de Asuntos </w:t>
      </w:r>
      <w:r w:rsidR="001D4B0A" w:rsidRPr="00CD0C90">
        <w:rPr>
          <w:rFonts w:asciiTheme="majorHAnsi" w:hAnsiTheme="majorHAnsi" w:cstheme="majorHAnsi"/>
          <w:sz w:val="22"/>
          <w:szCs w:val="22"/>
        </w:rPr>
        <w:t>legislativo</w:t>
      </w:r>
      <w:r w:rsidR="00222BBC" w:rsidRPr="00CD0C90">
        <w:rPr>
          <w:rFonts w:asciiTheme="majorHAnsi" w:hAnsiTheme="majorHAnsi" w:cstheme="majorHAnsi"/>
          <w:sz w:val="22"/>
          <w:szCs w:val="22"/>
        </w:rPr>
        <w:t>s 2022 – 2026</w:t>
      </w:r>
      <w:bookmarkEnd w:id="61"/>
    </w:p>
    <w:p w14:paraId="206F3CF0" w14:textId="77777777" w:rsidR="00222BBC" w:rsidRPr="00CD0C90" w:rsidRDefault="00222BBC" w:rsidP="00CD0C90">
      <w:pPr>
        <w:spacing w:after="0"/>
        <w:jc w:val="both"/>
        <w:rPr>
          <w:rFonts w:asciiTheme="majorHAnsi" w:hAnsiTheme="majorHAnsi" w:cstheme="majorHAnsi"/>
        </w:rPr>
      </w:pPr>
      <w:r w:rsidRPr="00CD0C90">
        <w:rPr>
          <w:rFonts w:asciiTheme="majorHAnsi" w:hAnsiTheme="majorHAnsi" w:cstheme="majorHAnsi"/>
        </w:rPr>
        <w:t>En este apartado se presentarán los hallazgos identificados en la matriz de solicitudes de información enviadas por el Congreso de la República al Ministerio de Minas y Energía, correspondientes a las ocho legislaturas (del 20 de julio al 16 de diciembre y del 16 de febrero al 20 de junio) del periodo de gobierno del presidente Gustavo Petro 2022–2026.</w:t>
      </w:r>
    </w:p>
    <w:p w14:paraId="66817670" w14:textId="77777777" w:rsidR="00222BBC" w:rsidRPr="00CD0C90" w:rsidRDefault="00222BBC" w:rsidP="00CD0C90">
      <w:pPr>
        <w:spacing w:after="0"/>
        <w:jc w:val="both"/>
        <w:rPr>
          <w:rFonts w:asciiTheme="majorHAnsi" w:hAnsiTheme="majorHAnsi" w:cstheme="majorHAnsi"/>
        </w:rPr>
      </w:pPr>
    </w:p>
    <w:p w14:paraId="0FA989D2" w14:textId="77777777" w:rsidR="00222BBC" w:rsidRPr="00CD0C90" w:rsidRDefault="00222BBC" w:rsidP="00CD0C90">
      <w:pPr>
        <w:spacing w:after="0"/>
        <w:jc w:val="both"/>
        <w:rPr>
          <w:rFonts w:asciiTheme="majorHAnsi" w:hAnsiTheme="majorHAnsi" w:cstheme="majorHAnsi"/>
          <w:b/>
          <w:bCs/>
        </w:rPr>
      </w:pPr>
      <w:r w:rsidRPr="00CD0C90">
        <w:rPr>
          <w:rFonts w:asciiTheme="majorHAnsi" w:hAnsiTheme="majorHAnsi" w:cstheme="majorHAnsi"/>
          <w:b/>
          <w:bCs/>
        </w:rPr>
        <w:t>Figura 1</w:t>
      </w:r>
    </w:p>
    <w:p w14:paraId="7618FCAD" w14:textId="77777777" w:rsidR="00222BBC" w:rsidRPr="00CD0C90" w:rsidRDefault="00222BBC" w:rsidP="00CD0C90">
      <w:pPr>
        <w:spacing w:after="0"/>
        <w:jc w:val="both"/>
        <w:rPr>
          <w:rFonts w:asciiTheme="majorHAnsi" w:hAnsiTheme="majorHAnsi" w:cstheme="majorHAnsi"/>
          <w:b/>
          <w:bCs/>
        </w:rPr>
      </w:pPr>
      <w:r w:rsidRPr="00CD0C90">
        <w:rPr>
          <w:rFonts w:asciiTheme="majorHAnsi" w:hAnsiTheme="majorHAnsi" w:cstheme="majorHAnsi"/>
          <w:b/>
          <w:bCs/>
        </w:rPr>
        <w:t>Solicitudes de información del Congreso al GAL – MME 2022-2026</w:t>
      </w:r>
    </w:p>
    <w:p w14:paraId="37A26C50" w14:textId="77777777" w:rsidR="00222BBC" w:rsidRPr="00CD0C90" w:rsidRDefault="00222BBC" w:rsidP="00CD0C90">
      <w:pPr>
        <w:spacing w:after="0"/>
        <w:jc w:val="both"/>
        <w:rPr>
          <w:rFonts w:asciiTheme="majorHAnsi" w:hAnsiTheme="majorHAnsi" w:cstheme="majorHAnsi"/>
        </w:rPr>
      </w:pPr>
      <w:r w:rsidRPr="00CD0C90">
        <w:rPr>
          <w:rFonts w:asciiTheme="majorHAnsi" w:hAnsiTheme="majorHAnsi" w:cstheme="majorHAnsi"/>
          <w:noProof/>
        </w:rPr>
        <w:lastRenderedPageBreak/>
        <w:drawing>
          <wp:inline distT="0" distB="0" distL="0" distR="0" wp14:anchorId="116AE454" wp14:editId="4CC6366B">
            <wp:extent cx="4968670" cy="2324302"/>
            <wp:effectExtent l="0" t="0" r="0" b="0"/>
            <wp:docPr id="11791979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197962" name="Picture 1179197962"/>
                    <pic:cNvPicPr/>
                  </pic:nvPicPr>
                  <pic:blipFill>
                    <a:blip r:embed="rId11">
                      <a:extLst>
                        <a:ext uri="{28A0092B-C50C-407E-A947-70E740481C1C}">
                          <a14:useLocalDpi xmlns:a14="http://schemas.microsoft.com/office/drawing/2010/main"/>
                        </a:ext>
                      </a:extLst>
                    </a:blip>
                    <a:stretch>
                      <a:fillRect/>
                    </a:stretch>
                  </pic:blipFill>
                  <pic:spPr>
                    <a:xfrm>
                      <a:off x="0" y="0"/>
                      <a:ext cx="4968670" cy="2324302"/>
                    </a:xfrm>
                    <a:prstGeom prst="rect">
                      <a:avLst/>
                    </a:prstGeom>
                  </pic:spPr>
                </pic:pic>
              </a:graphicData>
            </a:graphic>
          </wp:inline>
        </w:drawing>
      </w:r>
    </w:p>
    <w:p w14:paraId="6D220F74"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Fuente: Elaboración propia. Basado en: MME – GAL. Registro de solicitudes Congreso 2022-2026 con corte al 30/06/2026.</w:t>
      </w:r>
    </w:p>
    <w:p w14:paraId="4EB7BF8A" w14:textId="3B54FEDE" w:rsidR="00222BBC" w:rsidRPr="00CD0C90" w:rsidRDefault="00222BBC" w:rsidP="00CD0C90">
      <w:pPr>
        <w:jc w:val="both"/>
        <w:rPr>
          <w:rFonts w:asciiTheme="majorHAnsi" w:hAnsiTheme="majorHAnsi" w:cstheme="majorHAnsi"/>
        </w:rPr>
      </w:pPr>
      <w:r w:rsidRPr="00CD0C90">
        <w:rPr>
          <w:rFonts w:asciiTheme="majorHAnsi" w:hAnsiTheme="majorHAnsi" w:cstheme="majorHAnsi"/>
        </w:rPr>
        <w:t xml:space="preserve">Cabe resaltar que el procedimiento para el registro de solicitudes del Grupo de Asuntos </w:t>
      </w:r>
      <w:r w:rsidR="001D4B0A" w:rsidRPr="00CD0C90">
        <w:rPr>
          <w:rFonts w:asciiTheme="majorHAnsi" w:hAnsiTheme="majorHAnsi" w:cstheme="majorHAnsi"/>
        </w:rPr>
        <w:t>legislativo</w:t>
      </w:r>
      <w:r w:rsidRPr="00CD0C90">
        <w:rPr>
          <w:rFonts w:asciiTheme="majorHAnsi" w:hAnsiTheme="majorHAnsi" w:cstheme="majorHAnsi"/>
        </w:rPr>
        <w:t>s fue modificado en 2024, con el fin de crear un espacio que concentrara la gestión del relacionamiento entre el Ministerio y el Congreso y permitiera fortalecer el seguimiento sistemático de la actividad legislativa frente al sector minero</w:t>
      </w:r>
      <w:r w:rsidRPr="00CD0C90">
        <w:rPr>
          <w:rFonts w:asciiTheme="majorHAnsi" w:hAnsiTheme="majorHAnsi" w:cstheme="majorHAnsi"/>
        </w:rPr>
        <w:noBreakHyphen/>
        <w:t xml:space="preserve">energético. En el último año, es decir, en las dos últimas legislaturas entre el segundo semestre de 2025 y el primer semestre de 2026, periodo en el cual se configuró la estrategia de relacionamiento con el Congreso actual, el número de solicitudes descendió en un 33%, pasando de 429 a 289 en comparación con el mismo periodo de 2024 (segunda y primera legislatura). Este descenso no sólo refleja una variación cuantitativa en la demanda de información, sino también el impacto inicial de una estrategia de relacionamiento más estructurada, orientada a ordenar las interacciones con el </w:t>
      </w:r>
      <w:r w:rsidR="001D4B0A" w:rsidRPr="00CD0C90">
        <w:rPr>
          <w:rFonts w:asciiTheme="majorHAnsi" w:hAnsiTheme="majorHAnsi" w:cstheme="majorHAnsi"/>
        </w:rPr>
        <w:t>legislativo</w:t>
      </w:r>
      <w:r w:rsidRPr="00CD0C90">
        <w:rPr>
          <w:rFonts w:asciiTheme="majorHAnsi" w:hAnsiTheme="majorHAnsi" w:cstheme="majorHAnsi"/>
        </w:rPr>
        <w:t xml:space="preserve"> y a anticipar sus requerimientos.</w:t>
      </w:r>
    </w:p>
    <w:p w14:paraId="7A3BE845"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t>Tabla 1</w:t>
      </w:r>
    </w:p>
    <w:p w14:paraId="674AA8C8"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t>Solicitudes presentadas por partidos políticos al GAL – MME 2022-2026</w:t>
      </w:r>
    </w:p>
    <w:tbl>
      <w:tblPr>
        <w:tblStyle w:val="Tablaconcuadrcula3-nfasis4"/>
        <w:tblW w:w="0" w:type="auto"/>
        <w:tblLook w:val="04A0" w:firstRow="1" w:lastRow="0" w:firstColumn="1" w:lastColumn="0" w:noHBand="0" w:noVBand="1"/>
      </w:tblPr>
      <w:tblGrid>
        <w:gridCol w:w="2509"/>
        <w:gridCol w:w="1188"/>
        <w:gridCol w:w="1245"/>
        <w:gridCol w:w="1094"/>
        <w:gridCol w:w="1213"/>
        <w:gridCol w:w="1028"/>
        <w:gridCol w:w="1057"/>
      </w:tblGrid>
      <w:tr w:rsidR="00222BBC" w:rsidRPr="00CD0C90" w14:paraId="408D80FD" w14:textId="77777777" w:rsidTr="003D3896">
        <w:trPr>
          <w:cnfStyle w:val="100000000000" w:firstRow="1" w:lastRow="0" w:firstColumn="0" w:lastColumn="0" w:oddVBand="0" w:evenVBand="0" w:oddHBand="0" w:evenHBand="0" w:firstRowFirstColumn="0" w:firstRowLastColumn="0" w:lastRowFirstColumn="0" w:lastRowLastColumn="0"/>
          <w:trHeight w:val="285"/>
        </w:trPr>
        <w:tc>
          <w:tcPr>
            <w:cnfStyle w:val="001000000100" w:firstRow="0" w:lastRow="0" w:firstColumn="1" w:lastColumn="0" w:oddVBand="0" w:evenVBand="0" w:oddHBand="0" w:evenHBand="0" w:firstRowFirstColumn="1" w:firstRowLastColumn="0" w:lastRowFirstColumn="0" w:lastRowLastColumn="0"/>
            <w:tcW w:w="2509" w:type="dxa"/>
            <w:tcBorders>
              <w:bottom w:val="single" w:sz="8" w:space="0" w:color="FFD966"/>
            </w:tcBorders>
            <w:tcMar>
              <w:left w:w="108" w:type="dxa"/>
              <w:right w:w="108" w:type="dxa"/>
            </w:tcMar>
          </w:tcPr>
          <w:p w14:paraId="3639FB77"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Partido político</w:t>
            </w:r>
          </w:p>
        </w:tc>
        <w:tc>
          <w:tcPr>
            <w:tcW w:w="1188" w:type="dxa"/>
            <w:tcBorders>
              <w:bottom w:val="single" w:sz="8" w:space="0" w:color="FFD966"/>
            </w:tcBorders>
            <w:tcMar>
              <w:left w:w="108" w:type="dxa"/>
              <w:right w:w="108" w:type="dxa"/>
            </w:tcMar>
          </w:tcPr>
          <w:p w14:paraId="6970D2E7" w14:textId="77777777" w:rsidR="00222BBC" w:rsidRPr="00CD0C90" w:rsidRDefault="00222BBC" w:rsidP="00CD0C90">
            <w:pPr>
              <w:spacing w:line="276"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2023</w:t>
            </w:r>
          </w:p>
        </w:tc>
        <w:tc>
          <w:tcPr>
            <w:tcW w:w="1245" w:type="dxa"/>
            <w:tcBorders>
              <w:bottom w:val="single" w:sz="8" w:space="0" w:color="FFD966"/>
            </w:tcBorders>
            <w:tcMar>
              <w:left w:w="108" w:type="dxa"/>
              <w:right w:w="108" w:type="dxa"/>
            </w:tcMar>
          </w:tcPr>
          <w:p w14:paraId="2857DD7B" w14:textId="77777777" w:rsidR="00222BBC" w:rsidRPr="00CD0C90" w:rsidRDefault="00222BBC" w:rsidP="00CD0C90">
            <w:pPr>
              <w:spacing w:line="276"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2024</w:t>
            </w:r>
          </w:p>
        </w:tc>
        <w:tc>
          <w:tcPr>
            <w:tcW w:w="1094" w:type="dxa"/>
            <w:tcBorders>
              <w:bottom w:val="single" w:sz="8" w:space="0" w:color="FFD966"/>
            </w:tcBorders>
            <w:tcMar>
              <w:left w:w="108" w:type="dxa"/>
              <w:right w:w="108" w:type="dxa"/>
            </w:tcMar>
          </w:tcPr>
          <w:p w14:paraId="4DD8914C" w14:textId="77777777" w:rsidR="00222BBC" w:rsidRPr="00CD0C90" w:rsidRDefault="00222BBC" w:rsidP="00CD0C90">
            <w:pPr>
              <w:spacing w:line="276"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2025</w:t>
            </w:r>
          </w:p>
        </w:tc>
        <w:tc>
          <w:tcPr>
            <w:tcW w:w="1213" w:type="dxa"/>
            <w:tcBorders>
              <w:bottom w:val="single" w:sz="8" w:space="0" w:color="FFD966"/>
            </w:tcBorders>
            <w:tcMar>
              <w:left w:w="108" w:type="dxa"/>
              <w:right w:w="108" w:type="dxa"/>
            </w:tcMar>
          </w:tcPr>
          <w:p w14:paraId="084AF3BE" w14:textId="77777777" w:rsidR="00222BBC" w:rsidRPr="00CD0C90" w:rsidRDefault="00222BBC" w:rsidP="00CD0C90">
            <w:pPr>
              <w:spacing w:line="276"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2026</w:t>
            </w:r>
          </w:p>
        </w:tc>
        <w:tc>
          <w:tcPr>
            <w:tcW w:w="1028" w:type="dxa"/>
            <w:tcBorders>
              <w:bottom w:val="single" w:sz="8" w:space="0" w:color="FFD966"/>
            </w:tcBorders>
            <w:tcMar>
              <w:left w:w="108" w:type="dxa"/>
              <w:right w:w="108" w:type="dxa"/>
            </w:tcMar>
          </w:tcPr>
          <w:p w14:paraId="3E757F6A" w14:textId="77777777" w:rsidR="00222BBC" w:rsidRPr="00CD0C90" w:rsidRDefault="00222BBC" w:rsidP="00CD0C90">
            <w:pPr>
              <w:spacing w:line="276"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Total</w:t>
            </w:r>
          </w:p>
        </w:tc>
        <w:tc>
          <w:tcPr>
            <w:tcW w:w="1057" w:type="dxa"/>
            <w:tcBorders>
              <w:bottom w:val="single" w:sz="8" w:space="0" w:color="FFD966"/>
            </w:tcBorders>
            <w:tcMar>
              <w:left w:w="108" w:type="dxa"/>
              <w:right w:w="108" w:type="dxa"/>
            </w:tcMar>
          </w:tcPr>
          <w:p w14:paraId="3CA5D29C" w14:textId="77777777" w:rsidR="00222BBC" w:rsidRPr="00CD0C90" w:rsidRDefault="00222BBC" w:rsidP="00CD0C90">
            <w:pPr>
              <w:spacing w:line="276"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w:t>
            </w:r>
          </w:p>
        </w:tc>
      </w:tr>
      <w:tr w:rsidR="00222BBC" w:rsidRPr="00CD0C90" w14:paraId="64567250"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single" w:sz="8" w:space="0" w:color="FFD966"/>
              <w:right w:val="single" w:sz="8" w:space="0" w:color="FFD966"/>
            </w:tcBorders>
            <w:tcMar>
              <w:left w:w="108" w:type="dxa"/>
              <w:right w:w="108" w:type="dxa"/>
            </w:tcMar>
          </w:tcPr>
          <w:p w14:paraId="0F9A4D58"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Centro democrático</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D95DDDF"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16</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96D70A0"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51</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686A84E"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82</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6F38DAF"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17</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88F21C8"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166</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60FB9C4"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21%</w:t>
            </w:r>
          </w:p>
        </w:tc>
      </w:tr>
      <w:tr w:rsidR="00222BBC" w:rsidRPr="00CD0C90" w14:paraId="78C72B8F"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636C464B"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Pacto histórico</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BD1A647"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13</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4E4D55F"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36</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9DA86B7"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84</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F6ECEDA"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33</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9028021"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166</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FFA1A13"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21%</w:t>
            </w:r>
          </w:p>
        </w:tc>
      </w:tr>
      <w:tr w:rsidR="00222BBC" w:rsidRPr="00CD0C90" w14:paraId="393C37D0"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0BDEF2EE"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Verde</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31A502F"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4</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382C5A3"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32</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AE4B849"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44</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37EB098"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10</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E499C9A"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90</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9096A35"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11%</w:t>
            </w:r>
          </w:p>
        </w:tc>
      </w:tr>
      <w:tr w:rsidR="00222BBC" w:rsidRPr="00CD0C90" w14:paraId="7C4C91EE"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5636081E"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Cambio radical</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1E253C4"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7</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2B4837C"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36</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224FA7F"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33</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FAABACB"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9</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3CCE3B9"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85</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6491237"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11%</w:t>
            </w:r>
          </w:p>
        </w:tc>
      </w:tr>
      <w:tr w:rsidR="00222BBC" w:rsidRPr="00CD0C90" w14:paraId="3C02ECAA"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20876261"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Liberal</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4D5F417"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F01C975"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14</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29A62B3"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49</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7C934A9"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5</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CF603C0"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70</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4FA93C0"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9%</w:t>
            </w:r>
          </w:p>
        </w:tc>
      </w:tr>
      <w:tr w:rsidR="00222BBC" w:rsidRPr="00CD0C90" w14:paraId="53F5E997"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573E0D46"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Conservador</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2901644"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5</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CB2EE64"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14</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7705B4F"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27</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C6B9C2D"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7</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7531FD8"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53</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AF995D4"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7%</w:t>
            </w:r>
          </w:p>
        </w:tc>
      </w:tr>
      <w:tr w:rsidR="00222BBC" w:rsidRPr="00CD0C90" w14:paraId="4FBC328B"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1C0F1E33"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La U</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B0643ED"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5</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A6893D2"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13</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8FBA605"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22</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91CF9A4"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12</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7A1CAAB"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52</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4E8BD8A"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7%</w:t>
            </w:r>
          </w:p>
        </w:tc>
      </w:tr>
      <w:tr w:rsidR="00222BBC" w:rsidRPr="00CD0C90" w14:paraId="59569CD7"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01EBEF6B"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CITREP</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34C8515"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4</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99A4CB9"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11</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F7E3ABB"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22</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8A01CDB"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17FE064"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39</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1D02634"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5%</w:t>
            </w:r>
          </w:p>
        </w:tc>
      </w:tr>
      <w:tr w:rsidR="00222BBC" w:rsidRPr="00CD0C90" w14:paraId="5D39DB55"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6ACBB8FF"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lastRenderedPageBreak/>
              <w:t>MIRA</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4850720"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E6F0D1A"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5</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55653F2"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7</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BDF38E9"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5</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D974638"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19</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F6DAAAE"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w:t>
            </w:r>
          </w:p>
        </w:tc>
      </w:tr>
      <w:tr w:rsidR="00222BBC" w:rsidRPr="00CD0C90" w14:paraId="7E1FBB76"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0FA02B1E"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Comunes</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EA2CC35"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 xml:space="preserve"> </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680CA79"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5</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5E446CB"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10</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17CB47D"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3</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824D19D"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18</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78A4257"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w:t>
            </w:r>
          </w:p>
        </w:tc>
      </w:tr>
      <w:tr w:rsidR="00222BBC" w:rsidRPr="00CD0C90" w14:paraId="00E99FB5"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22679ABD"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N/A</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BA80013"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 xml:space="preserve"> </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717DAAD"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92D0FC3"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6</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0C2A1DB"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5C80542"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9</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57E7F62"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r>
      <w:tr w:rsidR="00222BBC" w:rsidRPr="00CD0C90" w14:paraId="5145DF0D"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1DA092B6"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Centro esperanza</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4290D30"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5EBAAD7"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4</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D05C55F"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171A5BD"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 xml:space="preserve"> </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FF02C1C"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6</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BD90FF3"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r>
      <w:tr w:rsidR="00222BBC" w:rsidRPr="00CD0C90" w14:paraId="659F16BA"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008AE6A5"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Afro</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BBEF126"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 xml:space="preserve"> </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7363B44"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68C537B"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3</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06B5CDE"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1D6798E"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6</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C020C50"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r>
      <w:tr w:rsidR="00222BBC" w:rsidRPr="00CD0C90" w14:paraId="0CFA2BB9"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2337CA38"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Fuerza ciudadana</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E55885B"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25CE5E0"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0EB7B8B"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3</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4EF740A"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 xml:space="preserve"> </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14376BB"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6</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42EA846"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r>
      <w:tr w:rsidR="00222BBC" w:rsidRPr="00CD0C90" w14:paraId="273D6C31"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746C04B6"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Liga anticorrupción</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EFDB645"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 xml:space="preserve"> </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6467486"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7F0EB1C"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0784E03"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 xml:space="preserve"> </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255B5D1"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4</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D2CB58B"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r>
      <w:tr w:rsidR="00222BBC" w:rsidRPr="00CD0C90" w14:paraId="25DF8B49"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7A6C6458"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Verde-oxígeno</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B528E4A"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 xml:space="preserve"> </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9296C5A"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52E6666"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 xml:space="preserve"> </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01B4F9D"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 xml:space="preserve"> </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2CA1DD6"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EE798D9"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0%</w:t>
            </w:r>
          </w:p>
        </w:tc>
      </w:tr>
      <w:tr w:rsidR="00222BBC" w:rsidRPr="00CD0C90" w14:paraId="256D3554"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0BEF29D1"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MAIS</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123F68A"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 xml:space="preserve"> </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BB5EE24"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 xml:space="preserve"> </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D7DA508"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8310876"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C1E6791"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577F134"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0%</w:t>
            </w:r>
          </w:p>
        </w:tc>
      </w:tr>
      <w:tr w:rsidR="00222BBC" w:rsidRPr="00CD0C90" w14:paraId="76A7BD41"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69A39E65"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AICO</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5008273"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 xml:space="preserve"> </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F9955FC"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8848713"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F3EDEA3"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 xml:space="preserve"> </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9EFDB11"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1B422CD"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0%</w:t>
            </w:r>
          </w:p>
        </w:tc>
      </w:tr>
      <w:tr w:rsidR="00222BBC" w:rsidRPr="00CD0C90" w14:paraId="65ED5945"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1C145BF5"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Colombia justa libres</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4187B6D"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 xml:space="preserve"> </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A43F1FE"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 xml:space="preserve"> </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BA77E9B"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3B0D846"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 xml:space="preserve"> </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265D8B6"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8378B71"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0%</w:t>
            </w:r>
          </w:p>
        </w:tc>
      </w:tr>
      <w:tr w:rsidR="00222BBC" w:rsidRPr="00CD0C90" w14:paraId="6B619BE9"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5D86A97F"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b/>
                <w:bCs/>
                <w:color w:val="000000" w:themeColor="text1"/>
              </w:rPr>
              <w:t>Total</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2214987"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b/>
                <w:bCs/>
                <w:color w:val="000000" w:themeColor="text1"/>
              </w:rPr>
              <w:t>60</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20E7219"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b/>
                <w:bCs/>
                <w:color w:val="000000" w:themeColor="text1"/>
              </w:rPr>
              <w:t>232</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F3BE973"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b/>
                <w:bCs/>
                <w:color w:val="000000" w:themeColor="text1"/>
              </w:rPr>
              <w:t>398</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8779560"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b/>
                <w:bCs/>
                <w:color w:val="000000" w:themeColor="text1"/>
              </w:rPr>
              <w:t>106</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EAA7157"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b/>
                <w:bCs/>
                <w:color w:val="000000" w:themeColor="text1"/>
              </w:rPr>
              <w:t>796</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BCB2544"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b/>
                <w:bCs/>
                <w:color w:val="000000" w:themeColor="text1"/>
              </w:rPr>
              <w:t>100%</w:t>
            </w:r>
          </w:p>
        </w:tc>
      </w:tr>
    </w:tbl>
    <w:p w14:paraId="1AA71D60"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Fuente: Elaboración propia. Basado en: MME – GAL. Registro de solicitudes Congreso 2022-2026 con corte al 30/06/2026.</w:t>
      </w:r>
    </w:p>
    <w:p w14:paraId="181EBCBA" w14:textId="274E86D9" w:rsidR="00222BBC" w:rsidRPr="00CD0C90" w:rsidRDefault="00222BBC" w:rsidP="00CD0C90">
      <w:pPr>
        <w:jc w:val="both"/>
        <w:rPr>
          <w:rFonts w:asciiTheme="majorHAnsi" w:hAnsiTheme="majorHAnsi" w:cstheme="majorHAnsi"/>
        </w:rPr>
      </w:pPr>
      <w:r w:rsidRPr="00CD0C90">
        <w:rPr>
          <w:rFonts w:asciiTheme="majorHAnsi" w:hAnsiTheme="majorHAnsi" w:cstheme="majorHAnsi"/>
        </w:rPr>
        <w:t xml:space="preserve">Los partidos políticos que realizaron más solicitudes de información al Ministerio fueron el Centro democrático y el Pacto histórico en la misma proporción (166 peticiones), seguidos del partido Verde con 90, Cambio radical con 85, el partido Liberal con 70, el partido Conservador con 53 y el partido de La U con 52 peticiones. Esta concentración en fuerzas políticas con posiciones divergentes frente a la agenda gubernamental sugiere que el Ministerio se convierte en un espacio de disputa informacional entre oficialismo y oposición, lo cual exige un análisis estratégico legislativo capaz de responder de manera coherente a demandas diferenciadas sin profundizar la fragmentación de la relación </w:t>
      </w:r>
      <w:r w:rsidR="001D4B0A" w:rsidRPr="00CD0C90">
        <w:rPr>
          <w:rFonts w:asciiTheme="majorHAnsi" w:hAnsiTheme="majorHAnsi" w:cstheme="majorHAnsi"/>
        </w:rPr>
        <w:t>ejecutivo</w:t>
      </w:r>
      <w:r w:rsidRPr="00CD0C90">
        <w:rPr>
          <w:rFonts w:asciiTheme="majorHAnsi" w:hAnsiTheme="majorHAnsi" w:cstheme="majorHAnsi"/>
        </w:rPr>
        <w:noBreakHyphen/>
      </w:r>
      <w:r w:rsidR="001D4B0A" w:rsidRPr="00CD0C90">
        <w:rPr>
          <w:rFonts w:asciiTheme="majorHAnsi" w:hAnsiTheme="majorHAnsi" w:cstheme="majorHAnsi"/>
        </w:rPr>
        <w:t>legislativo</w:t>
      </w:r>
      <w:r w:rsidRPr="00CD0C90">
        <w:rPr>
          <w:rFonts w:asciiTheme="majorHAnsi" w:hAnsiTheme="majorHAnsi" w:cstheme="majorHAnsi"/>
        </w:rPr>
        <w:t>.</w:t>
      </w:r>
    </w:p>
    <w:p w14:paraId="6E3ADEAB"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t>Figura 2</w:t>
      </w:r>
    </w:p>
    <w:p w14:paraId="637D41AD"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t>Congresistas con más solicitudes de información al GAL – MME 2022-2026</w:t>
      </w:r>
    </w:p>
    <w:p w14:paraId="574D77EB"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noProof/>
        </w:rPr>
        <w:lastRenderedPageBreak/>
        <w:drawing>
          <wp:inline distT="0" distB="0" distL="0" distR="0" wp14:anchorId="6B2280C8" wp14:editId="25B377A9">
            <wp:extent cx="5121084" cy="4054191"/>
            <wp:effectExtent l="0" t="0" r="0" b="0"/>
            <wp:docPr id="47536047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360478" name="Picture 475360478"/>
                    <pic:cNvPicPr/>
                  </pic:nvPicPr>
                  <pic:blipFill>
                    <a:blip r:embed="rId12">
                      <a:extLst>
                        <a:ext uri="{28A0092B-C50C-407E-A947-70E740481C1C}">
                          <a14:useLocalDpi xmlns:a14="http://schemas.microsoft.com/office/drawing/2010/main"/>
                        </a:ext>
                      </a:extLst>
                    </a:blip>
                    <a:stretch>
                      <a:fillRect/>
                    </a:stretch>
                  </pic:blipFill>
                  <pic:spPr>
                    <a:xfrm>
                      <a:off x="0" y="0"/>
                      <a:ext cx="5121084" cy="4054191"/>
                    </a:xfrm>
                    <a:prstGeom prst="rect">
                      <a:avLst/>
                    </a:prstGeom>
                  </pic:spPr>
                </pic:pic>
              </a:graphicData>
            </a:graphic>
          </wp:inline>
        </w:drawing>
      </w:r>
    </w:p>
    <w:p w14:paraId="51FE45B1"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Fuente: Elaboración propia. Basado en: MME – GAL. Registro de solicitudes Congreso 2022-2026 con corte al 30/06/2026.</w:t>
      </w:r>
    </w:p>
    <w:p w14:paraId="22C4708B"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Entre los 20 congresistas que concentraron el mayor porcentaje de solicitudes al Ministerio en el último cuatrienio (38%), se encuentran Paloma Valencia (31), María Fernanda Cabal (27) y Paola Holguín (23), todas pertenecientes al Centro democrático. La presencia dominante de congresistas de oposición en el grupo de mayores solicitantes indica que las solicitudes de información operan como un mecanismo de control y escrutinio permanente sobre la gestión del sector minero</w:t>
      </w:r>
      <w:r w:rsidRPr="00CD0C90">
        <w:rPr>
          <w:rFonts w:asciiTheme="majorHAnsi" w:hAnsiTheme="majorHAnsi" w:cstheme="majorHAnsi"/>
        </w:rPr>
        <w:noBreakHyphen/>
        <w:t>energético, lo que refuerza la necesidad de contar con capacidades institucionales de análisis legislativo que permitan procesar estas demandas sin reducir la relación a un intercambio reactivo y personalista.</w:t>
      </w:r>
    </w:p>
    <w:p w14:paraId="651E44C8"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t>Figura 3</w:t>
      </w:r>
    </w:p>
    <w:p w14:paraId="5541A703"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t>Solicitudes de información del Congreso al GAL - MME por corporación 2022-2026</w:t>
      </w:r>
    </w:p>
    <w:p w14:paraId="52B10FAE"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noProof/>
        </w:rPr>
        <w:lastRenderedPageBreak/>
        <w:drawing>
          <wp:inline distT="0" distB="0" distL="0" distR="0" wp14:anchorId="710263BC" wp14:editId="03B91F3B">
            <wp:extent cx="3063505" cy="1806097"/>
            <wp:effectExtent l="0" t="0" r="0" b="0"/>
            <wp:docPr id="6300216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21646" name="Picture 630021646"/>
                    <pic:cNvPicPr/>
                  </pic:nvPicPr>
                  <pic:blipFill>
                    <a:blip r:embed="rId13">
                      <a:extLst>
                        <a:ext uri="{28A0092B-C50C-407E-A947-70E740481C1C}">
                          <a14:useLocalDpi xmlns:a14="http://schemas.microsoft.com/office/drawing/2010/main"/>
                        </a:ext>
                      </a:extLst>
                    </a:blip>
                    <a:stretch>
                      <a:fillRect/>
                    </a:stretch>
                  </pic:blipFill>
                  <pic:spPr>
                    <a:xfrm>
                      <a:off x="0" y="0"/>
                      <a:ext cx="3063505" cy="1806097"/>
                    </a:xfrm>
                    <a:prstGeom prst="rect">
                      <a:avLst/>
                    </a:prstGeom>
                  </pic:spPr>
                </pic:pic>
              </a:graphicData>
            </a:graphic>
          </wp:inline>
        </w:drawing>
      </w:r>
    </w:p>
    <w:p w14:paraId="6DB36E22"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Fuente: Elaboración propia. Basado en: MME – GAL. Registro de solicitudes Congreso 2022-2026 con corte al 30/06/2026.</w:t>
      </w:r>
    </w:p>
    <w:p w14:paraId="17950C16"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La corporación que realizó más solicitudes al Ministerio fue la Cámara de Representantes (444), seguido del Senado (331) y otras entidades (21). Este predominio de la Cámara está alineado con su vínculo más directo con los territorios, lo que refuerza la idea de que las solicitudes de información canalizan preocupaciones locales sobre proyectos y recursos y ubican al Ministerio como un actor clave en la gobernanza multinivel de la transición energética justa.</w:t>
      </w:r>
    </w:p>
    <w:p w14:paraId="4BFD53AD"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t>Figura 4</w:t>
      </w:r>
    </w:p>
    <w:p w14:paraId="507FE9B7"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t>Palabras más frecuentes en solicitudes de información del Congreso al GAL – MME 2022-2026</w:t>
      </w:r>
    </w:p>
    <w:p w14:paraId="5635F176"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noProof/>
        </w:rPr>
        <w:drawing>
          <wp:inline distT="0" distB="0" distL="0" distR="0" wp14:anchorId="6FEFDEB1" wp14:editId="603F1859">
            <wp:extent cx="5614902" cy="2859272"/>
            <wp:effectExtent l="0" t="0" r="0" b="0"/>
            <wp:docPr id="171134541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345416" name="Picture 1711345416"/>
                    <pic:cNvPicPr/>
                  </pic:nvPicPr>
                  <pic:blipFill>
                    <a:blip r:embed="rId14">
                      <a:extLst>
                        <a:ext uri="{28A0092B-C50C-407E-A947-70E740481C1C}">
                          <a14:useLocalDpi xmlns:a14="http://schemas.microsoft.com/office/drawing/2010/main"/>
                        </a:ext>
                      </a:extLst>
                    </a:blip>
                    <a:stretch>
                      <a:fillRect/>
                    </a:stretch>
                  </pic:blipFill>
                  <pic:spPr>
                    <a:xfrm>
                      <a:off x="0" y="0"/>
                      <a:ext cx="5614902" cy="2859272"/>
                    </a:xfrm>
                    <a:prstGeom prst="rect">
                      <a:avLst/>
                    </a:prstGeom>
                  </pic:spPr>
                </pic:pic>
              </a:graphicData>
            </a:graphic>
          </wp:inline>
        </w:drawing>
      </w:r>
    </w:p>
    <w:p w14:paraId="6E7D2FDB"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Fuente: Elaboración propia. Basado en: MME – GAL. Registro de solicitudes Congreso 2022-2026 con corte al 30/06/2026.</w:t>
      </w:r>
    </w:p>
    <w:p w14:paraId="53A1C54A"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lastRenderedPageBreak/>
        <w:t>Las palabras con mayor frecuencia en las solicitudes son proyecto, municipio y recurso, lo que indica que la mayoría de las solicitudes de información se enfocan en el seguimiento a la ejecución de proyectos y recursos comprometidos a nivel territorial. En un segundo nivel se encuentran las palabras minas, energía, contrato y empresa, que remiten a la articulación entre actores empresariales y decisiones sectoriales. En tercer nivel se ubican términos como departamento, programa y proceso, que apuntan a la dimensión programática y procedimental de la política pública. En conjunto, este patrón léxico sugiere que la relación Congreso–Ministerio se estructura alrededor del control sobre la distribución territorial de recursos y proyectos del sector, dimensión central para comprender la gobernanza de una transición energética justa.</w:t>
      </w:r>
    </w:p>
    <w:p w14:paraId="001A94E8"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t>Figura 5</w:t>
      </w:r>
    </w:p>
    <w:p w14:paraId="16CF46C6"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t>Temas más frecuentes en solicitudes de información del Congreso al GAL – MME 2022-2026</w:t>
      </w:r>
    </w:p>
    <w:p w14:paraId="28DAE024"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noProof/>
        </w:rPr>
        <w:drawing>
          <wp:inline distT="0" distB="0" distL="0" distR="0" wp14:anchorId="6F95E579" wp14:editId="6491364F">
            <wp:extent cx="5639289" cy="3371380"/>
            <wp:effectExtent l="0" t="0" r="0" b="0"/>
            <wp:docPr id="10223336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333610" name="Picture 1022333610"/>
                    <pic:cNvPicPr/>
                  </pic:nvPicPr>
                  <pic:blipFill>
                    <a:blip r:embed="rId15">
                      <a:extLst>
                        <a:ext uri="{28A0092B-C50C-407E-A947-70E740481C1C}">
                          <a14:useLocalDpi xmlns:a14="http://schemas.microsoft.com/office/drawing/2010/main"/>
                        </a:ext>
                      </a:extLst>
                    </a:blip>
                    <a:stretch>
                      <a:fillRect/>
                    </a:stretch>
                  </pic:blipFill>
                  <pic:spPr>
                    <a:xfrm>
                      <a:off x="0" y="0"/>
                      <a:ext cx="5639289" cy="3371380"/>
                    </a:xfrm>
                    <a:prstGeom prst="rect">
                      <a:avLst/>
                    </a:prstGeom>
                  </pic:spPr>
                </pic:pic>
              </a:graphicData>
            </a:graphic>
          </wp:inline>
        </w:drawing>
      </w:r>
    </w:p>
    <w:p w14:paraId="6FD58E7D"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Fuente: Elaboración propia. Basado en: MME – GAL. Registro de solicitudes Congreso 2022-2026 con corte al 30/06/2026.</w:t>
      </w:r>
    </w:p>
    <w:p w14:paraId="5FD5CAAF" w14:textId="04A6000F" w:rsidR="007C40C2" w:rsidRPr="00CD0C90" w:rsidRDefault="00222BBC" w:rsidP="00CD0C90">
      <w:pPr>
        <w:jc w:val="both"/>
        <w:rPr>
          <w:rFonts w:asciiTheme="majorHAnsi" w:hAnsiTheme="majorHAnsi" w:cstheme="majorHAnsi"/>
        </w:rPr>
      </w:pPr>
      <w:r w:rsidRPr="00CD0C90">
        <w:rPr>
          <w:rFonts w:asciiTheme="majorHAnsi" w:hAnsiTheme="majorHAnsi" w:cstheme="majorHAnsi"/>
        </w:rPr>
        <w:t xml:space="preserve">El tema de mayor consulta por los congresistas es “proyectos con afectación ambiental”, con 181 registros (22,8%). En segundo lugar se ubica el “seguimiento a planeación”, que refiere a planes, programas, proyectos, compromisos y acciones propias del Ministerio, con 173 registros (21,7%), seguido de “peticiones ciudadanas” con 169 registros (21,2%), “ejecución presupuestal” con 130 registros (16,3%), “matriz energética” con 101 registros (12,7%) y, finalmente, “entidades territoriales” con 42 registros </w:t>
      </w:r>
      <w:r w:rsidRPr="00CD0C90">
        <w:rPr>
          <w:rFonts w:asciiTheme="majorHAnsi" w:hAnsiTheme="majorHAnsi" w:cstheme="majorHAnsi"/>
        </w:rPr>
        <w:lastRenderedPageBreak/>
        <w:t>(5,3%). Esta distribución temática evidencia que la relación con el Congreso se concentra en la intersección entre impacto ambiental, ejecución territorial y estructura de la matriz energética, lo que convierte al análisis estratégico legislativo en un insumo necesario para articular exigencias de control político con la formulación y ajuste de la política de transición energética justa.</w:t>
      </w:r>
    </w:p>
    <w:p w14:paraId="59E376A9" w14:textId="02765ED6" w:rsidR="007C40C2" w:rsidRPr="00CD0C90" w:rsidRDefault="007C40C2" w:rsidP="00CD0C90">
      <w:pPr>
        <w:pStyle w:val="Ttulo3"/>
        <w:spacing w:line="276" w:lineRule="auto"/>
        <w:rPr>
          <w:rFonts w:asciiTheme="majorHAnsi" w:hAnsiTheme="majorHAnsi" w:cstheme="majorHAnsi"/>
          <w:sz w:val="22"/>
          <w:szCs w:val="22"/>
        </w:rPr>
      </w:pPr>
      <w:bookmarkStart w:id="62" w:name="_Toc234920374"/>
      <w:r w:rsidRPr="00CD0C90">
        <w:rPr>
          <w:rFonts w:asciiTheme="majorHAnsi" w:hAnsiTheme="majorHAnsi" w:cstheme="majorHAnsi"/>
          <w:sz w:val="22"/>
          <w:szCs w:val="22"/>
        </w:rPr>
        <w:t xml:space="preserve">2.1.2 Análisis de proposiciones Grupo de Asuntos </w:t>
      </w:r>
      <w:r w:rsidR="001D4B0A" w:rsidRPr="00CD0C90">
        <w:rPr>
          <w:rFonts w:asciiTheme="majorHAnsi" w:hAnsiTheme="majorHAnsi" w:cstheme="majorHAnsi"/>
          <w:sz w:val="22"/>
          <w:szCs w:val="22"/>
        </w:rPr>
        <w:t>legislativo</w:t>
      </w:r>
      <w:r w:rsidRPr="00CD0C90">
        <w:rPr>
          <w:rFonts w:asciiTheme="majorHAnsi" w:hAnsiTheme="majorHAnsi" w:cstheme="majorHAnsi"/>
          <w:sz w:val="22"/>
          <w:szCs w:val="22"/>
        </w:rPr>
        <w:t>s 2022 – 2026</w:t>
      </w:r>
      <w:bookmarkEnd w:id="62"/>
    </w:p>
    <w:p w14:paraId="6EC8336A" w14:textId="134BB095" w:rsidR="00222BBC" w:rsidRPr="00CD0C90" w:rsidRDefault="00222BBC" w:rsidP="00CD0C90">
      <w:pPr>
        <w:jc w:val="both"/>
        <w:rPr>
          <w:rFonts w:asciiTheme="majorHAnsi" w:hAnsiTheme="majorHAnsi" w:cstheme="majorHAnsi"/>
        </w:rPr>
      </w:pPr>
      <w:r w:rsidRPr="00CD0C90">
        <w:rPr>
          <w:rFonts w:asciiTheme="majorHAnsi" w:hAnsiTheme="majorHAnsi" w:cstheme="majorHAnsi"/>
        </w:rPr>
        <w:t>Este apartado mostrará los hallazgos en la matriz de solicitudes con relación a las proposiciones de debates de control político del Congreso de la República al Ministerio de Minas y Energía, correspondientes a las ocho legislaturas (del 20 de julio al 16 de diciembre y del 16 de febrero al 20 de junio) del periodo de gobierno del presidente Gustavo Petro 2022–2026.</w:t>
      </w:r>
    </w:p>
    <w:p w14:paraId="116959D4"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b/>
          <w:bCs/>
        </w:rPr>
        <w:t>Figura 6</w:t>
      </w:r>
    </w:p>
    <w:p w14:paraId="11A7D849"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t>Proposiciones presentadas por el Congreso al GAL – MME 2022-2026</w:t>
      </w:r>
    </w:p>
    <w:p w14:paraId="6F2119D2"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noProof/>
        </w:rPr>
        <w:drawing>
          <wp:inline distT="0" distB="0" distL="0" distR="0" wp14:anchorId="31DD6F82" wp14:editId="170B9CE7">
            <wp:extent cx="4663844" cy="2606266"/>
            <wp:effectExtent l="0" t="0" r="0" b="0"/>
            <wp:docPr id="9569871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987137" name="Picture 956987137"/>
                    <pic:cNvPicPr/>
                  </pic:nvPicPr>
                  <pic:blipFill>
                    <a:blip r:embed="rId16">
                      <a:extLst>
                        <a:ext uri="{28A0092B-C50C-407E-A947-70E740481C1C}">
                          <a14:useLocalDpi xmlns:a14="http://schemas.microsoft.com/office/drawing/2010/main"/>
                        </a:ext>
                      </a:extLst>
                    </a:blip>
                    <a:stretch>
                      <a:fillRect/>
                    </a:stretch>
                  </pic:blipFill>
                  <pic:spPr>
                    <a:xfrm>
                      <a:off x="0" y="0"/>
                      <a:ext cx="4663844" cy="2606266"/>
                    </a:xfrm>
                    <a:prstGeom prst="rect">
                      <a:avLst/>
                    </a:prstGeom>
                  </pic:spPr>
                </pic:pic>
              </a:graphicData>
            </a:graphic>
          </wp:inline>
        </w:drawing>
      </w:r>
    </w:p>
    <w:p w14:paraId="63E87B0F"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Fuente: Elaboración propia. Basado en: MME – GAL. Registro de solicitudes Congreso 2022-2026 con corte al 30/06/2026.</w:t>
      </w:r>
    </w:p>
    <w:p w14:paraId="68C5CC55" w14:textId="38A47103" w:rsidR="00222BBC" w:rsidRPr="00CD0C90" w:rsidRDefault="00222BBC" w:rsidP="00CD0C90">
      <w:pPr>
        <w:jc w:val="both"/>
        <w:rPr>
          <w:rFonts w:asciiTheme="majorHAnsi" w:hAnsiTheme="majorHAnsi" w:cstheme="majorHAnsi"/>
        </w:rPr>
      </w:pPr>
      <w:r w:rsidRPr="00CD0C90">
        <w:rPr>
          <w:rFonts w:asciiTheme="majorHAnsi" w:hAnsiTheme="majorHAnsi" w:cstheme="majorHAnsi"/>
        </w:rPr>
        <w:t xml:space="preserve">Aunque el periodo en el que más se presentaron proposiciones fue el segundo semestre de 2025, en las dos últimas legislaturas entre el segundo semestre de 2025 y el primer semestre de 2026, periodo en el cual se configuró la estrategia de relacionamiento con el Congreso, se observa una disminución relativa frente a 2024 en el número de proposiciones, lo que sugiere un cambio en la forma en que el </w:t>
      </w:r>
      <w:r w:rsidR="001D4B0A" w:rsidRPr="00CD0C90">
        <w:rPr>
          <w:rFonts w:asciiTheme="majorHAnsi" w:hAnsiTheme="majorHAnsi" w:cstheme="majorHAnsi"/>
        </w:rPr>
        <w:t>legislativo</w:t>
      </w:r>
      <w:r w:rsidRPr="00CD0C90">
        <w:rPr>
          <w:rFonts w:asciiTheme="majorHAnsi" w:hAnsiTheme="majorHAnsi" w:cstheme="majorHAnsi"/>
        </w:rPr>
        <w:t xml:space="preserve"> canaliza el control político hacia el Ministerio. Esta variación debe leerse en conjunto con el descenso de solicitudes de información, pues ambos tipos de instrumentos reflejan ajustes en la intensidad y en la modalidad de la relación entre el sector minero</w:t>
      </w:r>
      <w:r w:rsidRPr="00CD0C90">
        <w:rPr>
          <w:rFonts w:asciiTheme="majorHAnsi" w:hAnsiTheme="majorHAnsi" w:cstheme="majorHAnsi"/>
        </w:rPr>
        <w:noBreakHyphen/>
        <w:t>energético y el Congreso.</w:t>
      </w:r>
    </w:p>
    <w:p w14:paraId="073CC993"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lastRenderedPageBreak/>
        <w:t>Tabla 2</w:t>
      </w:r>
    </w:p>
    <w:p w14:paraId="420DC712"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t>Proposiciones presentadas por partidos políticos al GAL – MME 2022-2026</w:t>
      </w:r>
    </w:p>
    <w:tbl>
      <w:tblPr>
        <w:tblStyle w:val="Tablaconcuadrcula3-nfasis4"/>
        <w:tblW w:w="0" w:type="auto"/>
        <w:tblLook w:val="04A0" w:firstRow="1" w:lastRow="0" w:firstColumn="1" w:lastColumn="0" w:noHBand="0" w:noVBand="1"/>
      </w:tblPr>
      <w:tblGrid>
        <w:gridCol w:w="1770"/>
        <w:gridCol w:w="795"/>
        <w:gridCol w:w="915"/>
        <w:gridCol w:w="795"/>
        <w:gridCol w:w="795"/>
        <w:gridCol w:w="795"/>
        <w:gridCol w:w="795"/>
        <w:gridCol w:w="915"/>
      </w:tblGrid>
      <w:tr w:rsidR="00222BBC" w:rsidRPr="00CD0C90" w14:paraId="4B9A4B2E" w14:textId="77777777" w:rsidTr="003D3896">
        <w:trPr>
          <w:cnfStyle w:val="100000000000" w:firstRow="1" w:lastRow="0" w:firstColumn="0" w:lastColumn="0" w:oddVBand="0" w:evenVBand="0" w:oddHBand="0" w:evenHBand="0" w:firstRowFirstColumn="0" w:firstRowLastColumn="0" w:lastRowFirstColumn="0" w:lastRowLastColumn="0"/>
          <w:trHeight w:val="285"/>
        </w:trPr>
        <w:tc>
          <w:tcPr>
            <w:cnfStyle w:val="001000000100" w:firstRow="0" w:lastRow="0" w:firstColumn="1" w:lastColumn="0" w:oddVBand="0" w:evenVBand="0" w:oddHBand="0" w:evenHBand="0" w:firstRowFirstColumn="1" w:firstRowLastColumn="0" w:lastRowFirstColumn="0" w:lastRowLastColumn="0"/>
            <w:tcW w:w="1770" w:type="dxa"/>
            <w:tcBorders>
              <w:bottom w:val="single" w:sz="8" w:space="0" w:color="FFD966"/>
            </w:tcBorders>
            <w:tcMar>
              <w:left w:w="108" w:type="dxa"/>
              <w:right w:w="108" w:type="dxa"/>
            </w:tcMar>
          </w:tcPr>
          <w:p w14:paraId="259ADFFF"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Partido político</w:t>
            </w:r>
          </w:p>
        </w:tc>
        <w:tc>
          <w:tcPr>
            <w:tcW w:w="795" w:type="dxa"/>
            <w:tcBorders>
              <w:bottom w:val="single" w:sz="8" w:space="0" w:color="FFD966"/>
            </w:tcBorders>
            <w:tcMar>
              <w:left w:w="108" w:type="dxa"/>
              <w:right w:w="108" w:type="dxa"/>
            </w:tcMar>
          </w:tcPr>
          <w:p w14:paraId="4190070A" w14:textId="77777777" w:rsidR="00222BBC" w:rsidRPr="00CD0C90" w:rsidRDefault="00222BBC" w:rsidP="00CD0C90">
            <w:pPr>
              <w:spacing w:line="276"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2022</w:t>
            </w:r>
          </w:p>
        </w:tc>
        <w:tc>
          <w:tcPr>
            <w:tcW w:w="915" w:type="dxa"/>
            <w:tcBorders>
              <w:bottom w:val="single" w:sz="8" w:space="0" w:color="FFD966"/>
            </w:tcBorders>
            <w:tcMar>
              <w:left w:w="108" w:type="dxa"/>
              <w:right w:w="108" w:type="dxa"/>
            </w:tcMar>
          </w:tcPr>
          <w:p w14:paraId="4D6AD676" w14:textId="77777777" w:rsidR="00222BBC" w:rsidRPr="00CD0C90" w:rsidRDefault="00222BBC" w:rsidP="00CD0C90">
            <w:pPr>
              <w:spacing w:line="276"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2023</w:t>
            </w:r>
          </w:p>
        </w:tc>
        <w:tc>
          <w:tcPr>
            <w:tcW w:w="795" w:type="dxa"/>
            <w:tcBorders>
              <w:bottom w:val="single" w:sz="8" w:space="0" w:color="FFD966"/>
            </w:tcBorders>
            <w:tcMar>
              <w:left w:w="108" w:type="dxa"/>
              <w:right w:w="108" w:type="dxa"/>
            </w:tcMar>
          </w:tcPr>
          <w:p w14:paraId="16B23FD1" w14:textId="77777777" w:rsidR="00222BBC" w:rsidRPr="00CD0C90" w:rsidRDefault="00222BBC" w:rsidP="00CD0C90">
            <w:pPr>
              <w:spacing w:line="276"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2024</w:t>
            </w:r>
          </w:p>
        </w:tc>
        <w:tc>
          <w:tcPr>
            <w:tcW w:w="795" w:type="dxa"/>
            <w:tcBorders>
              <w:bottom w:val="single" w:sz="8" w:space="0" w:color="FFD966"/>
            </w:tcBorders>
            <w:tcMar>
              <w:left w:w="108" w:type="dxa"/>
              <w:right w:w="108" w:type="dxa"/>
            </w:tcMar>
          </w:tcPr>
          <w:p w14:paraId="4F46EB53" w14:textId="77777777" w:rsidR="00222BBC" w:rsidRPr="00CD0C90" w:rsidRDefault="00222BBC" w:rsidP="00CD0C90">
            <w:pPr>
              <w:spacing w:line="276"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2025</w:t>
            </w:r>
          </w:p>
        </w:tc>
        <w:tc>
          <w:tcPr>
            <w:tcW w:w="795" w:type="dxa"/>
            <w:tcBorders>
              <w:bottom w:val="single" w:sz="8" w:space="0" w:color="FFD966"/>
            </w:tcBorders>
            <w:tcMar>
              <w:left w:w="108" w:type="dxa"/>
              <w:right w:w="108" w:type="dxa"/>
            </w:tcMar>
          </w:tcPr>
          <w:p w14:paraId="6EBEA40B" w14:textId="77777777" w:rsidR="00222BBC" w:rsidRPr="00CD0C90" w:rsidRDefault="00222BBC" w:rsidP="00CD0C90">
            <w:pPr>
              <w:spacing w:line="276"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2026</w:t>
            </w:r>
          </w:p>
        </w:tc>
        <w:tc>
          <w:tcPr>
            <w:tcW w:w="795" w:type="dxa"/>
            <w:tcBorders>
              <w:bottom w:val="single" w:sz="8" w:space="0" w:color="FFD966"/>
            </w:tcBorders>
            <w:tcMar>
              <w:left w:w="108" w:type="dxa"/>
              <w:right w:w="108" w:type="dxa"/>
            </w:tcMar>
          </w:tcPr>
          <w:p w14:paraId="22A8327C" w14:textId="77777777" w:rsidR="00222BBC" w:rsidRPr="00CD0C90" w:rsidRDefault="00222BBC" w:rsidP="00CD0C90">
            <w:pPr>
              <w:spacing w:line="276"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Total</w:t>
            </w:r>
          </w:p>
        </w:tc>
        <w:tc>
          <w:tcPr>
            <w:tcW w:w="915" w:type="dxa"/>
            <w:tcBorders>
              <w:bottom w:val="single" w:sz="8" w:space="0" w:color="FFD966"/>
            </w:tcBorders>
            <w:tcMar>
              <w:left w:w="108" w:type="dxa"/>
              <w:right w:w="108" w:type="dxa"/>
            </w:tcMar>
          </w:tcPr>
          <w:p w14:paraId="29A57585" w14:textId="77777777" w:rsidR="00222BBC" w:rsidRPr="00CD0C90" w:rsidRDefault="00222BBC" w:rsidP="00CD0C90">
            <w:pPr>
              <w:spacing w:line="276"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w:t>
            </w:r>
          </w:p>
        </w:tc>
      </w:tr>
      <w:tr w:rsidR="00222BBC" w:rsidRPr="00CD0C90" w14:paraId="66CA5E0B"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70" w:type="dxa"/>
            <w:tcBorders>
              <w:top w:val="single" w:sz="8" w:space="0" w:color="FFD966"/>
              <w:right w:val="single" w:sz="8" w:space="0" w:color="FFD966"/>
            </w:tcBorders>
            <w:tcMar>
              <w:left w:w="108" w:type="dxa"/>
              <w:right w:w="108" w:type="dxa"/>
            </w:tcMar>
          </w:tcPr>
          <w:p w14:paraId="7942F1B5"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N/A</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83FB055"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E5C5EDB"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8AFD752"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18</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CE41D83"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22</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64CF152"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10</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0D2C29D"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52</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080C320"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19%</w:t>
            </w:r>
          </w:p>
        </w:tc>
      </w:tr>
      <w:tr w:rsidR="00222BBC" w:rsidRPr="00CD0C90" w14:paraId="554D619B"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7C86A768"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Conservador</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4D13D29"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8</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A243BD0"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11</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B17864F"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11</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0886655"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11</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BCA985A"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3</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643ADDB"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44</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D717976"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16%</w:t>
            </w:r>
          </w:p>
        </w:tc>
      </w:tr>
      <w:tr w:rsidR="00222BBC" w:rsidRPr="00CD0C90" w14:paraId="4C26A7C6"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14A66AED"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Centro democrático</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F60C3FD"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7</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E4B9C19"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8</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5B04718"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8</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6A43FA9"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19</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62AE500"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6A00A17"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42</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4AFED12"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15%</w:t>
            </w:r>
          </w:p>
        </w:tc>
      </w:tr>
      <w:tr w:rsidR="00222BBC" w:rsidRPr="00CD0C90" w14:paraId="5A357887"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01FF47C7"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Pacto histórico</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9713F89"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4</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89F44FC"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4</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1265CB4"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7</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7BF211B"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13</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A660018"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61E7928"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28</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A1A9E3E"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10%</w:t>
            </w:r>
          </w:p>
        </w:tc>
      </w:tr>
      <w:tr w:rsidR="00222BBC" w:rsidRPr="00CD0C90" w14:paraId="1AD102F1"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505DC23C"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La U</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7F166EB"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3060729"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7</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94D75CD"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8</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BAD255F"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7</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C7F7692"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3</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0F47657"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26</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D6C9D08"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9%</w:t>
            </w:r>
          </w:p>
        </w:tc>
      </w:tr>
      <w:tr w:rsidR="00222BBC" w:rsidRPr="00CD0C90" w14:paraId="0815BF8F"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5F6A9285"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Verde</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683D049"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4</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9DA3D6F"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3</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473BF04"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7</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773C151"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7</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ECBF120"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0EE5B5F"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22</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3344A5F"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8%</w:t>
            </w:r>
          </w:p>
        </w:tc>
      </w:tr>
      <w:tr w:rsidR="00222BBC" w:rsidRPr="00CD0C90" w14:paraId="5D857CE2"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45628866"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Liberal</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0178B68"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24C07F2"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4</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9D9AFCC"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6</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F39F9A1"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4</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E2A6B22"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C5CC26E"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16</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D9BCFF2"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6%</w:t>
            </w:r>
          </w:p>
        </w:tc>
      </w:tr>
      <w:tr w:rsidR="00222BBC" w:rsidRPr="00CD0C90" w14:paraId="43265008"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6514E19C"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CITREP</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D201302"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2861ECE"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E5867AD"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3</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08E4372"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3</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CBE5709"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3</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D1DE051"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11</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E335A91"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4%</w:t>
            </w:r>
          </w:p>
        </w:tc>
      </w:tr>
      <w:tr w:rsidR="00222BBC" w:rsidRPr="00CD0C90" w14:paraId="7B1D5F19"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2FD9175A"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Cambio radical</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661A65F"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B3859B6"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5</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BD674BC"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D490D11"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4</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6870491"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4C6FBC7"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11</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0B5D79D"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4%</w:t>
            </w:r>
          </w:p>
        </w:tc>
      </w:tr>
      <w:tr w:rsidR="00222BBC" w:rsidRPr="00CD0C90" w14:paraId="3AC12B94"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30D643B6"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Centro esperanza</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6F059E3"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DB518DA"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4</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78756A9"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E1467C9"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6</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FDE746A"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4250403"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11</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B17CA85"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4%</w:t>
            </w:r>
          </w:p>
        </w:tc>
      </w:tr>
      <w:tr w:rsidR="00222BBC" w:rsidRPr="00CD0C90" w14:paraId="56E61A25"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1FB1AFC0"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 xml:space="preserve">Liberal </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EB00A33"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6</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284423C"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6EDCD70"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BEF3321"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28952FA"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941206D"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6</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285ED1C"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w:t>
            </w:r>
          </w:p>
        </w:tc>
      </w:tr>
      <w:tr w:rsidR="00222BBC" w:rsidRPr="00CD0C90" w14:paraId="775A5E5A"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5485E883"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Afro</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035D916"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CD5DF43"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3E2BEA4"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3</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CB88759"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E2D3F25"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8DC31CC"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4</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26F6AA1"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r>
      <w:tr w:rsidR="00222BBC" w:rsidRPr="00CD0C90" w14:paraId="19374B44"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60E2A7EB"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 xml:space="preserve">Conservador </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250BAB5"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E17B7E1"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EF5EB9D"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B5C9458"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9B3B12F"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DA14145"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2</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E51F52B"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r>
      <w:tr w:rsidR="00222BBC" w:rsidRPr="00CD0C90" w14:paraId="40D4F5D3"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794F1E9B"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Colombia Justa Libres</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B561545"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07AE6BC"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5F29F13"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7CD8182"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1EE1765"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60435E2"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A942826"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0%</w:t>
            </w:r>
          </w:p>
        </w:tc>
      </w:tr>
      <w:tr w:rsidR="00222BBC" w:rsidRPr="00CD0C90" w14:paraId="7BBE84D7"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44E76616"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 xml:space="preserve">Cambio radical </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C4429F0"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E09D51F"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A41E6B2"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D3C0BBD"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39B19AA" w14:textId="77777777" w:rsidR="00222BBC" w:rsidRPr="00CD0C90" w:rsidRDefault="00222BBC" w:rsidP="00CD0C90">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0347DF5"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8D0C265"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0%</w:t>
            </w:r>
          </w:p>
        </w:tc>
      </w:tr>
      <w:tr w:rsidR="00222BBC" w:rsidRPr="00CD0C90" w14:paraId="4EA92A79"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56FB26C3"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color w:val="000000" w:themeColor="text1"/>
              </w:rPr>
              <w:t>Comunes</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C0AEE03"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A59EDDD"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7070C07"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4655317"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E317E96" w14:textId="77777777" w:rsidR="00222BBC" w:rsidRPr="00CD0C90" w:rsidRDefault="00222BBC" w:rsidP="00CD0C90">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BD2032D"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1</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2D0C882" w14:textId="77777777" w:rsidR="00222BBC" w:rsidRPr="00CD0C90" w:rsidRDefault="00222BBC" w:rsidP="00CD0C90">
            <w:pPr>
              <w:spacing w:line="276" w:lineRule="auto"/>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color w:val="000000" w:themeColor="text1"/>
              </w:rPr>
              <w:t>0%</w:t>
            </w:r>
          </w:p>
        </w:tc>
      </w:tr>
      <w:tr w:rsidR="00222BBC" w:rsidRPr="00CD0C90" w14:paraId="518E1A1F"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4ACF388D" w14:textId="77777777" w:rsidR="00222BBC" w:rsidRPr="00CD0C90" w:rsidRDefault="00222BBC" w:rsidP="00CD0C90">
            <w:pPr>
              <w:spacing w:line="276" w:lineRule="auto"/>
              <w:rPr>
                <w:rFonts w:asciiTheme="majorHAnsi" w:hAnsiTheme="majorHAnsi" w:cstheme="majorHAnsi"/>
              </w:rPr>
            </w:pPr>
            <w:r w:rsidRPr="00CD0C90">
              <w:rPr>
                <w:rFonts w:asciiTheme="majorHAnsi" w:hAnsiTheme="majorHAnsi" w:cstheme="majorHAnsi"/>
                <w:b/>
                <w:bCs/>
                <w:color w:val="000000" w:themeColor="text1"/>
              </w:rPr>
              <w:t>Total</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AB955D6"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b/>
                <w:bCs/>
                <w:color w:val="000000" w:themeColor="text1"/>
              </w:rPr>
              <w:t>32</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31EB9B4"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b/>
                <w:bCs/>
                <w:color w:val="000000" w:themeColor="text1"/>
              </w:rPr>
              <w:t>55</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CC6E264"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b/>
                <w:bCs/>
                <w:color w:val="000000" w:themeColor="text1"/>
              </w:rPr>
              <w:t>73</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4E7F26C"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b/>
                <w:bCs/>
                <w:color w:val="000000" w:themeColor="text1"/>
              </w:rPr>
              <w:t>97</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14BC66A"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b/>
                <w:bCs/>
                <w:color w:val="000000" w:themeColor="text1"/>
              </w:rPr>
              <w:t>21</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307BEA7"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b/>
                <w:bCs/>
                <w:color w:val="000000" w:themeColor="text1"/>
              </w:rPr>
              <w:t>278</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B29E6F5" w14:textId="77777777" w:rsidR="00222BBC" w:rsidRPr="00CD0C90" w:rsidRDefault="00222BBC" w:rsidP="00CD0C90">
            <w:pPr>
              <w:spacing w:line="276" w:lineRule="auto"/>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CD0C90">
              <w:rPr>
                <w:rFonts w:asciiTheme="majorHAnsi" w:hAnsiTheme="majorHAnsi" w:cstheme="majorHAnsi"/>
                <w:b/>
                <w:bCs/>
                <w:color w:val="000000" w:themeColor="text1"/>
              </w:rPr>
              <w:t>100%</w:t>
            </w:r>
          </w:p>
        </w:tc>
      </w:tr>
    </w:tbl>
    <w:p w14:paraId="538CFE4A" w14:textId="77777777" w:rsidR="00222BBC" w:rsidRPr="00CD0C90" w:rsidRDefault="00222BBC" w:rsidP="00CD0C90">
      <w:pPr>
        <w:jc w:val="both"/>
        <w:rPr>
          <w:rFonts w:asciiTheme="majorHAnsi" w:hAnsiTheme="majorHAnsi" w:cstheme="majorHAnsi"/>
        </w:rPr>
      </w:pPr>
    </w:p>
    <w:p w14:paraId="63042D5B"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Fuente: Elaboración propia. Basado en: MME – GAL. Registro de solicitudes Congreso 2022-2026 con corte al 30/06/2026.</w:t>
      </w:r>
    </w:p>
    <w:p w14:paraId="324CD90C"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Si bien 52 de las proposiciones fueron presentadas por una Comisión en plenaria, bien sea de Cámara (31, principalmente la Comisión Segunda con 11, la Comisión Quinta con 8 y la Comisión Cuarta) o de Senado (21, principalmente la Comisión Quinta con 10), los partidos políticos que realizaron más proposiciones al Ministerio fueron el Conservador, con 44, el Centro Democrático, con 42, el Pacto Histórico, con 28, seguido de La U, con 26, el partido Verde, con 22, y el partido Liberal, con 16. Este patrón muestra que las citaciones a debates de control político están impulsadas tanto por sectores opositores como por partidos tradicionales y de gobierno, lo que complejiza la lectura de la relación Congreso–Ministerio y demanda un análisis legislativo capaz de distinguir entre distintos tipos de presión política sobre el sector.</w:t>
      </w:r>
    </w:p>
    <w:p w14:paraId="492F64CB"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lastRenderedPageBreak/>
        <w:t>Figura 7</w:t>
      </w:r>
    </w:p>
    <w:p w14:paraId="3A3AABDE"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t>Congresistas con más proposiciones de información al GAL – MME 2022-2026</w:t>
      </w:r>
    </w:p>
    <w:p w14:paraId="77E0419B"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noProof/>
        </w:rPr>
        <w:drawing>
          <wp:inline distT="0" distB="0" distL="0" distR="0" wp14:anchorId="338F191E" wp14:editId="13C36D84">
            <wp:extent cx="4656223" cy="3596952"/>
            <wp:effectExtent l="0" t="0" r="0" b="0"/>
            <wp:docPr id="7876499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64995" name="Picture 78764995"/>
                    <pic:cNvPicPr/>
                  </pic:nvPicPr>
                  <pic:blipFill>
                    <a:blip r:embed="rId17">
                      <a:extLst>
                        <a:ext uri="{28A0092B-C50C-407E-A947-70E740481C1C}">
                          <a14:useLocalDpi xmlns:a14="http://schemas.microsoft.com/office/drawing/2010/main"/>
                        </a:ext>
                      </a:extLst>
                    </a:blip>
                    <a:stretch>
                      <a:fillRect/>
                    </a:stretch>
                  </pic:blipFill>
                  <pic:spPr>
                    <a:xfrm>
                      <a:off x="0" y="0"/>
                      <a:ext cx="4656223" cy="3596952"/>
                    </a:xfrm>
                    <a:prstGeom prst="rect">
                      <a:avLst/>
                    </a:prstGeom>
                  </pic:spPr>
                </pic:pic>
              </a:graphicData>
            </a:graphic>
          </wp:inline>
        </w:drawing>
      </w:r>
    </w:p>
    <w:p w14:paraId="7141CEF7"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Fuente: Elaboración propia. Basado en: MME – GAL. Registro de solicitudes Congreso 2022-2026 con corte al 30/06/2026.</w:t>
      </w:r>
    </w:p>
    <w:p w14:paraId="04ADDD15"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Entre los 20 congresistas que concentraron el mayor porcentaje de proposiciones presentadas al Ministerio sobre citaciones a debates de control político en el último cuatrienio (33%), se encuentran José David Name (9), del partido de La U, seguido de Nicolás Echeverry (7) y Nicolás Barguil (7), del partido Conservador. La concentración de proposiciones en un número reducido de congresistas refuerza la hipótesis de una relación personalista y focalizada, en la que ciertos actores parlamentarios se convierten en interlocutores constantes del sector, lo que puede constituir una relación de control y como generar dependencias en la construcción de la agenda de transición energética.</w:t>
      </w:r>
    </w:p>
    <w:p w14:paraId="1D073224"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t>Figura 8</w:t>
      </w:r>
    </w:p>
    <w:p w14:paraId="381B5BCE"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t>Proposiciones del Congreso al GAL - MME por corporación 2022-2026</w:t>
      </w:r>
    </w:p>
    <w:p w14:paraId="0C9DC7AE"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noProof/>
        </w:rPr>
        <w:lastRenderedPageBreak/>
        <w:drawing>
          <wp:inline distT="0" distB="0" distL="0" distR="0" wp14:anchorId="4B4D1DB8" wp14:editId="687A0198">
            <wp:extent cx="2949196" cy="2072820"/>
            <wp:effectExtent l="0" t="0" r="0" b="0"/>
            <wp:docPr id="71868950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689503" name="Picture 718689503"/>
                    <pic:cNvPicPr/>
                  </pic:nvPicPr>
                  <pic:blipFill>
                    <a:blip r:embed="rId18">
                      <a:extLst>
                        <a:ext uri="{28A0092B-C50C-407E-A947-70E740481C1C}">
                          <a14:useLocalDpi xmlns:a14="http://schemas.microsoft.com/office/drawing/2010/main"/>
                        </a:ext>
                      </a:extLst>
                    </a:blip>
                    <a:stretch>
                      <a:fillRect/>
                    </a:stretch>
                  </pic:blipFill>
                  <pic:spPr>
                    <a:xfrm>
                      <a:off x="0" y="0"/>
                      <a:ext cx="2949196" cy="2072820"/>
                    </a:xfrm>
                    <a:prstGeom prst="rect">
                      <a:avLst/>
                    </a:prstGeom>
                  </pic:spPr>
                </pic:pic>
              </a:graphicData>
            </a:graphic>
          </wp:inline>
        </w:drawing>
      </w:r>
    </w:p>
    <w:p w14:paraId="1C020986"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Fuente: Elaboración propia. Basado en: MME – GAL. Registro de solicitudes Congreso 2022-2026 con corte al 30/06/2026.</w:t>
      </w:r>
    </w:p>
    <w:p w14:paraId="15340CB5"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La corporación que realizó más proposiciones al Ministerio fue la Cámara de Representantes (444), seguida del Senado (145) y otras entidades (133). Este predominio de la Cámara refuerza la idea de que el control político sobre el sector minero</w:t>
      </w:r>
      <w:r w:rsidRPr="00CD0C90">
        <w:rPr>
          <w:rFonts w:asciiTheme="majorHAnsi" w:hAnsiTheme="majorHAnsi" w:cstheme="majorHAnsi"/>
        </w:rPr>
        <w:noBreakHyphen/>
        <w:t>energético se ejerce, principalmente, desde los vínculos territoriales de los representantes, y posiciona al Ministerio como un actor central en la gestión de demandas y conflictos asociados a la transición energética en los territorios.</w:t>
      </w:r>
    </w:p>
    <w:p w14:paraId="08D849FC"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t>Figura 9</w:t>
      </w:r>
    </w:p>
    <w:p w14:paraId="6C9AEDEF"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t>Palabras más frecuentes en proposiciones del Congreso al GAL – MME 2022-2026</w:t>
      </w:r>
    </w:p>
    <w:p w14:paraId="0EA6DC2B"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noProof/>
        </w:rPr>
        <w:drawing>
          <wp:inline distT="0" distB="0" distL="0" distR="0" wp14:anchorId="2B9C17AF" wp14:editId="1E456AE5">
            <wp:extent cx="5614902" cy="2859272"/>
            <wp:effectExtent l="0" t="0" r="0" b="0"/>
            <wp:docPr id="9791387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138751" name="Picture 979138751"/>
                    <pic:cNvPicPr/>
                  </pic:nvPicPr>
                  <pic:blipFill>
                    <a:blip r:embed="rId19">
                      <a:extLst>
                        <a:ext uri="{28A0092B-C50C-407E-A947-70E740481C1C}">
                          <a14:useLocalDpi xmlns:a14="http://schemas.microsoft.com/office/drawing/2010/main"/>
                        </a:ext>
                      </a:extLst>
                    </a:blip>
                    <a:stretch>
                      <a:fillRect/>
                    </a:stretch>
                  </pic:blipFill>
                  <pic:spPr>
                    <a:xfrm>
                      <a:off x="0" y="0"/>
                      <a:ext cx="5614902" cy="2859272"/>
                    </a:xfrm>
                    <a:prstGeom prst="rect">
                      <a:avLst/>
                    </a:prstGeom>
                  </pic:spPr>
                </pic:pic>
              </a:graphicData>
            </a:graphic>
          </wp:inline>
        </w:drawing>
      </w:r>
    </w:p>
    <w:p w14:paraId="3259184B"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lastRenderedPageBreak/>
        <w:t>Fuente: Elaboración propia. Basado en: MME – GAL. Registro de solicitudes Congreso 2022-2026 con corte al 30/06/2026.</w:t>
      </w:r>
    </w:p>
    <w:p w14:paraId="1F05B157"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Las palabras con mayor frecuencia en las proposiciones son proyecto y empresa; en un segundo nivel se encuentran departamento, municipio, minas y energía. En un tercer nivel aparecen términos como usuario, en referencia a los usuarios de servicios públicos domiciliarios, e impacto. Este patrón sugiere que los debates de control político se orientan no sólo al seguimiento de proyectos y actores empresariales, sino también a la percepción de impacto sobre usuarios y territorios, núcleo de las controversias asociadas a tarifas, subsidios y calidad del servicio en el marco de la transición energética.</w:t>
      </w:r>
    </w:p>
    <w:p w14:paraId="38712402"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t>Figura 10</w:t>
      </w:r>
    </w:p>
    <w:p w14:paraId="677F2C8D" w14:textId="77777777" w:rsidR="00222BBC" w:rsidRPr="00CD0C90" w:rsidRDefault="00222BBC" w:rsidP="00CD0C90">
      <w:pPr>
        <w:jc w:val="both"/>
        <w:rPr>
          <w:rFonts w:asciiTheme="majorHAnsi" w:hAnsiTheme="majorHAnsi" w:cstheme="majorHAnsi"/>
          <w:b/>
          <w:bCs/>
        </w:rPr>
      </w:pPr>
      <w:r w:rsidRPr="00CD0C90">
        <w:rPr>
          <w:rFonts w:asciiTheme="majorHAnsi" w:hAnsiTheme="majorHAnsi" w:cstheme="majorHAnsi"/>
          <w:b/>
          <w:bCs/>
        </w:rPr>
        <w:t>Temas más frecuentes en proposiciones del Congreso al GAL – MME 2022-2026</w:t>
      </w:r>
    </w:p>
    <w:p w14:paraId="14DD1689"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noProof/>
        </w:rPr>
        <w:drawing>
          <wp:inline distT="0" distB="0" distL="0" distR="0" wp14:anchorId="68229041" wp14:editId="441809FE">
            <wp:extent cx="5054600" cy="3021831"/>
            <wp:effectExtent l="0" t="0" r="0" b="7620"/>
            <wp:docPr id="9745326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532622" name="Picture 974532622"/>
                    <pic:cNvPicPr/>
                  </pic:nvPicPr>
                  <pic:blipFill>
                    <a:blip r:embed="rId20">
                      <a:extLst>
                        <a:ext uri="{28A0092B-C50C-407E-A947-70E740481C1C}">
                          <a14:useLocalDpi xmlns:a14="http://schemas.microsoft.com/office/drawing/2010/main"/>
                        </a:ext>
                      </a:extLst>
                    </a:blip>
                    <a:stretch>
                      <a:fillRect/>
                    </a:stretch>
                  </pic:blipFill>
                  <pic:spPr>
                    <a:xfrm>
                      <a:off x="0" y="0"/>
                      <a:ext cx="5063156" cy="3026946"/>
                    </a:xfrm>
                    <a:prstGeom prst="rect">
                      <a:avLst/>
                    </a:prstGeom>
                  </pic:spPr>
                </pic:pic>
              </a:graphicData>
            </a:graphic>
          </wp:inline>
        </w:drawing>
      </w:r>
    </w:p>
    <w:p w14:paraId="00B63C2C"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Fuente: Elaboración propia. Basado en: MME – GAL. Registro de solicitudes Congreso 2022-2026 con corte al 30/06/2026.</w:t>
      </w:r>
    </w:p>
    <w:p w14:paraId="6A2F1283"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El tema de mayor consulta por los congresistas en las proposiciones es “energía”, con 97 registros (34,9%). En segundo lugar, el “seguimiento a planeación”, con 74 registros (26,6%), seguido de “ejecución presupuestal” con 33 (11,9%), “subsidios y tarifas” con 31 (11,1%), “Ecopetrol” con 24 (8,6%) y “combustibles” con 19 (6,8%). La centralidad de energía, planeación y subsidios</w:t>
      </w:r>
      <w:r w:rsidRPr="00CD0C90">
        <w:rPr>
          <w:rFonts w:asciiTheme="majorHAnsi" w:hAnsiTheme="majorHAnsi" w:cstheme="majorHAnsi"/>
        </w:rPr>
        <w:noBreakHyphen/>
        <w:t>tarifas muestra que los debates de control político se sitúan en el corazón de la transición energética justa, donde se disputan las decisiones sobre la estructura de la matriz, la orientación del gasto público y la distribución de costos y beneficios entre usuarios y territorios.</w:t>
      </w:r>
    </w:p>
    <w:p w14:paraId="2AE62414"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lastRenderedPageBreak/>
        <w:t>En este contexto, el análisis estratégico legislativo se convierte en una herramienta indispensable para anticipar conflictos, construir narrativas coherentes y articular respuestas institucionales que trasciendan la gestión reactiva de citaciones y solicitudes. 3. Análisis Las solicitudes de información y las proposiciones conforman un esquema de relacionamiento más que dos canales independientes entre el Congreso y el Ministerio. Estas herramientas se han utilizado mayormente para obtener información sobre: el comportamiento de proyectos en territorio, la ejecución de recursos, la configuración de la matriz energética y los impactos sobre usuarios y comunidades.</w:t>
      </w:r>
    </w:p>
    <w:p w14:paraId="5A02D534"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La importancia de la Cámara de Representantes en los dos tipos de instrumentos muestra que existe una relación fuertemente atravesada por la territorialidad. Este órgano legislativo, el cual presenta un vínculo directo con las circunscripciones territoriales, utiliza solicitudes y proposiciones para canalizar Ministerio demandas y tensiones originadas en municipios y departamentos, vinculadas a proyectos con afectación ambiental, ejecución presupuestal y decisiones sobre subsidios y tarifas. Esto implica que el análisis legislativo del Ministerio no sólo debe tener en cuenta la dimensión partidista del Congreso, sino también la forma en que las agendas territoriales se transforman en presión legislativa sobre el sector.</w:t>
      </w:r>
    </w:p>
    <w:p w14:paraId="39B9FFBC" w14:textId="77777777" w:rsidR="00222BBC" w:rsidRPr="00CD0C90" w:rsidRDefault="00222BBC" w:rsidP="00CD0C90">
      <w:pPr>
        <w:jc w:val="both"/>
        <w:rPr>
          <w:rFonts w:asciiTheme="majorHAnsi" w:hAnsiTheme="majorHAnsi" w:cstheme="majorHAnsi"/>
        </w:rPr>
      </w:pPr>
      <w:r w:rsidRPr="00CD0C90">
        <w:rPr>
          <w:rFonts w:asciiTheme="majorHAnsi" w:hAnsiTheme="majorHAnsi" w:cstheme="majorHAnsi"/>
        </w:rPr>
        <w:t>Otro elemento importante es la concentración de las interacciones en un conjunto de actores parlamentarios específicos. Tanto en solicitudes como en proposiciones se identifica un grupo reducido de congresistas y partidos que recurren de manera reiterada a estas herramientas. Esa recurrencia configura una relación personalista y focalizada: el Ministerio dialoga y se defiende, de forma preferente, frente a ciertos nombres propios que ejercen control político permanente sobre el sector, lo que podría limitar la capacidad institucional de construir una estrategia legislativa robusta, al centrarse únicamente en estos actores.</w:t>
      </w:r>
    </w:p>
    <w:p w14:paraId="76A20471" w14:textId="2455D2AE" w:rsidR="00222BBC" w:rsidRPr="00CD0C90" w:rsidRDefault="00222BBC" w:rsidP="00CD0C90">
      <w:pPr>
        <w:jc w:val="both"/>
        <w:rPr>
          <w:rFonts w:asciiTheme="majorHAnsi" w:hAnsiTheme="majorHAnsi" w:cstheme="majorHAnsi"/>
        </w:rPr>
      </w:pPr>
      <w:r w:rsidRPr="00CD0C90">
        <w:rPr>
          <w:rFonts w:asciiTheme="majorHAnsi" w:hAnsiTheme="majorHAnsi" w:cstheme="majorHAnsi"/>
        </w:rPr>
        <w:t>El establecimiento de una estrategia legislativa clara en el último año ha generado un cambio en la forma de gestionar la relación con el Congreso, llevando a que se disminuya la dispersión de requerimientos y se organicen mejor las interacciones de manera estratégica, a través de mecanismos de registro, priorización y respuesta más sistemáticos. Sin embargo, este ajuste convive todavía con una dinámica de alta presión opositora y con debates de control político sobre asuntos sensibles (energía, subsidios, Ecopetrol), por lo que esta estrategia debe tener en cuenta, no solo una lógica defensiva y de contención de la oposición, sino también una de incidencia proactiva en la agenda legislativa en la que la interacción con el Congreso permita desarrollar una política de transición energética más coherente, articulada y menos dependiente de relaciones personales puntuales.</w:t>
      </w:r>
    </w:p>
    <w:p w14:paraId="4EAD77D6" w14:textId="7DAE2CA3" w:rsidR="00C50F13" w:rsidRPr="00CD0C90" w:rsidRDefault="00C50F13" w:rsidP="00CD0C90">
      <w:pPr>
        <w:pStyle w:val="Ttulo3"/>
        <w:spacing w:line="276" w:lineRule="auto"/>
        <w:rPr>
          <w:rFonts w:asciiTheme="majorHAnsi" w:hAnsiTheme="majorHAnsi" w:cstheme="majorHAnsi"/>
          <w:sz w:val="22"/>
          <w:szCs w:val="22"/>
        </w:rPr>
      </w:pPr>
      <w:bookmarkStart w:id="63" w:name="_Toc234920375"/>
      <w:r w:rsidRPr="00CD0C90">
        <w:rPr>
          <w:rFonts w:asciiTheme="majorHAnsi" w:hAnsiTheme="majorHAnsi" w:cstheme="majorHAnsi"/>
          <w:sz w:val="22"/>
          <w:szCs w:val="22"/>
        </w:rPr>
        <w:t>2.1.3 Debates de control político</w:t>
      </w:r>
      <w:bookmarkEnd w:id="63"/>
    </w:p>
    <w:p w14:paraId="6FDB31BE"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b/>
          <w:bCs/>
          <w:color w:val="BF9000"/>
        </w:rPr>
      </w:pPr>
      <w:r w:rsidRPr="00CD0C90">
        <w:rPr>
          <w:rFonts w:asciiTheme="majorHAnsi" w:hAnsiTheme="majorHAnsi" w:cstheme="majorHAnsi"/>
          <w:lang w:val="es-ES"/>
        </w:rPr>
        <w:t>En el siguiente acápite se relacionan las ocho proposiciones de debates de control político asociados a temas de transición energética, presentadas entre los años 2024 y 2026: </w:t>
      </w:r>
    </w:p>
    <w:p w14:paraId="47104088"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b/>
          <w:bCs/>
          <w:lang w:val="es-ES"/>
        </w:rPr>
      </w:pPr>
      <w:r w:rsidRPr="00CD0C90">
        <w:rPr>
          <w:rFonts w:asciiTheme="majorHAnsi" w:hAnsiTheme="majorHAnsi" w:cstheme="majorHAnsi"/>
          <w:b/>
          <w:bCs/>
          <w:lang w:val="es-ES"/>
        </w:rPr>
        <w:t>Tabla 1.</w:t>
      </w:r>
    </w:p>
    <w:p w14:paraId="55887AA5" w14:textId="77777777" w:rsidR="00C50F13" w:rsidRPr="00CD0C90" w:rsidRDefault="00C50F13" w:rsidP="00CD0C90">
      <w:pPr>
        <w:pBdr>
          <w:top w:val="nil"/>
          <w:left w:val="nil"/>
          <w:bottom w:val="nil"/>
          <w:right w:val="nil"/>
          <w:between w:val="nil"/>
        </w:pBdr>
        <w:spacing w:after="0"/>
        <w:jc w:val="both"/>
        <w:rPr>
          <w:rFonts w:asciiTheme="majorHAnsi" w:hAnsiTheme="majorHAnsi" w:cstheme="majorHAnsi"/>
          <w:b/>
          <w:bCs/>
          <w:lang w:val="es-ES"/>
        </w:rPr>
      </w:pPr>
      <w:r w:rsidRPr="00CD0C90">
        <w:rPr>
          <w:rFonts w:asciiTheme="majorHAnsi" w:hAnsiTheme="majorHAnsi" w:cstheme="majorHAnsi"/>
          <w:b/>
          <w:bCs/>
          <w:lang w:val="es-ES"/>
        </w:rPr>
        <w:lastRenderedPageBreak/>
        <w:t>Proposiciones de debate de control político al MME 2024-2026 </w:t>
      </w:r>
    </w:p>
    <w:tbl>
      <w:tblPr>
        <w:tblStyle w:val="Tablaconcuadrcula1clara-nfasis6"/>
        <w:tblW w:w="9147" w:type="dxa"/>
        <w:tblLook w:val="04A0" w:firstRow="1" w:lastRow="0" w:firstColumn="1" w:lastColumn="0" w:noHBand="0" w:noVBand="1"/>
      </w:tblPr>
      <w:tblGrid>
        <w:gridCol w:w="1575"/>
        <w:gridCol w:w="2175"/>
        <w:gridCol w:w="2250"/>
        <w:gridCol w:w="1750"/>
        <w:gridCol w:w="1397"/>
      </w:tblGrid>
      <w:tr w:rsidR="00C50F13" w:rsidRPr="00CD0C90" w14:paraId="3EF1FA42" w14:textId="77777777" w:rsidTr="003D389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6FD5F297" w14:textId="77777777" w:rsidR="00C50F13" w:rsidRPr="00CD0C90" w:rsidRDefault="00C50F13" w:rsidP="00CD0C90">
            <w:pPr>
              <w:spacing w:line="276" w:lineRule="auto"/>
              <w:jc w:val="center"/>
              <w:textAlignment w:val="baseline"/>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Proposición</w:t>
            </w:r>
          </w:p>
        </w:tc>
        <w:tc>
          <w:tcPr>
            <w:tcW w:w="2175" w:type="dxa"/>
            <w:vAlign w:val="center"/>
            <w:hideMark/>
          </w:tcPr>
          <w:p w14:paraId="7DC88536" w14:textId="77777777" w:rsidR="00C50F13" w:rsidRPr="00CD0C90" w:rsidRDefault="00C50F13" w:rsidP="00CD0C90">
            <w:pPr>
              <w:spacing w:line="276"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Tema</w:t>
            </w:r>
          </w:p>
        </w:tc>
        <w:tc>
          <w:tcPr>
            <w:tcW w:w="2250" w:type="dxa"/>
            <w:vAlign w:val="center"/>
            <w:hideMark/>
          </w:tcPr>
          <w:p w14:paraId="10AB5A49" w14:textId="77777777" w:rsidR="00C50F13" w:rsidRPr="00CD0C90" w:rsidRDefault="00C50F13" w:rsidP="00CD0C90">
            <w:pPr>
              <w:spacing w:line="276"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Respuesta del MME</w:t>
            </w:r>
          </w:p>
        </w:tc>
        <w:tc>
          <w:tcPr>
            <w:tcW w:w="1750" w:type="dxa"/>
            <w:vAlign w:val="center"/>
            <w:hideMark/>
          </w:tcPr>
          <w:p w14:paraId="18B36B21" w14:textId="77777777" w:rsidR="00C50F13" w:rsidRPr="00CD0C90" w:rsidRDefault="00C50F13" w:rsidP="00CD0C90">
            <w:pPr>
              <w:spacing w:line="276"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Corporación y Comisión</w:t>
            </w:r>
          </w:p>
        </w:tc>
        <w:tc>
          <w:tcPr>
            <w:tcW w:w="1397" w:type="dxa"/>
            <w:vAlign w:val="center"/>
            <w:hideMark/>
          </w:tcPr>
          <w:p w14:paraId="362184D7" w14:textId="77777777" w:rsidR="00C50F13" w:rsidRPr="00CD0C90" w:rsidRDefault="00C50F13" w:rsidP="00CD0C90">
            <w:pPr>
              <w:spacing w:line="276"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Sesión</w:t>
            </w:r>
          </w:p>
        </w:tc>
      </w:tr>
      <w:tr w:rsidR="00C50F13" w:rsidRPr="00CD0C90" w14:paraId="645F24C8" w14:textId="77777777" w:rsidTr="003D3896">
        <w:trPr>
          <w:trHeight w:val="30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641A7AC2" w14:textId="77777777" w:rsidR="00C50F13" w:rsidRPr="00CD0C90" w:rsidRDefault="00C50F13" w:rsidP="00CD0C90">
            <w:pPr>
              <w:spacing w:line="276" w:lineRule="auto"/>
              <w:jc w:val="center"/>
              <w:textAlignment w:val="baseline"/>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Proposición 108 de 2024</w:t>
            </w:r>
          </w:p>
        </w:tc>
        <w:tc>
          <w:tcPr>
            <w:tcW w:w="2175" w:type="dxa"/>
            <w:vAlign w:val="center"/>
            <w:hideMark/>
          </w:tcPr>
          <w:p w14:paraId="66E45AF0"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Racionamiento del servicio de energía</w:t>
            </w:r>
          </w:p>
        </w:tc>
        <w:tc>
          <w:tcPr>
            <w:tcW w:w="2250" w:type="dxa"/>
            <w:vAlign w:val="center"/>
            <w:hideMark/>
          </w:tcPr>
          <w:p w14:paraId="618189B2"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Sin cuestionario previo a la sesión</w:t>
            </w:r>
          </w:p>
        </w:tc>
        <w:tc>
          <w:tcPr>
            <w:tcW w:w="1750" w:type="dxa"/>
            <w:vAlign w:val="center"/>
            <w:hideMark/>
          </w:tcPr>
          <w:p w14:paraId="418C49B4"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Senado - Comisión V</w:t>
            </w:r>
          </w:p>
        </w:tc>
        <w:tc>
          <w:tcPr>
            <w:tcW w:w="1397" w:type="dxa"/>
            <w:vAlign w:val="center"/>
            <w:hideMark/>
          </w:tcPr>
          <w:p w14:paraId="3DF468A4"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Enlace </w:t>
            </w:r>
            <w:hyperlink r:id="rId21" w:tgtFrame="_blank" w:history="1">
              <w:r w:rsidRPr="00CD0C90">
                <w:rPr>
                  <w:rFonts w:asciiTheme="majorHAnsi" w:eastAsia="Times New Roman" w:hAnsiTheme="majorHAnsi" w:cstheme="majorHAnsi"/>
                  <w:color w:val="467886"/>
                  <w:u w:val="single"/>
                  <w:lang w:val="es-ES"/>
                </w:rPr>
                <w:t>aquí</w:t>
              </w:r>
            </w:hyperlink>
          </w:p>
        </w:tc>
      </w:tr>
      <w:tr w:rsidR="00C50F13" w:rsidRPr="00CD0C90" w14:paraId="38239F41" w14:textId="77777777" w:rsidTr="003D3896">
        <w:trPr>
          <w:trHeight w:val="30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3112F841" w14:textId="77777777" w:rsidR="00C50F13" w:rsidRPr="00CD0C90" w:rsidRDefault="00C50F13" w:rsidP="00CD0C90">
            <w:pPr>
              <w:spacing w:line="276" w:lineRule="auto"/>
              <w:jc w:val="center"/>
              <w:textAlignment w:val="baseline"/>
              <w:rPr>
                <w:rFonts w:asciiTheme="majorHAnsi" w:eastAsia="Times New Roman" w:hAnsiTheme="majorHAnsi" w:cstheme="majorHAnsi"/>
              </w:rPr>
            </w:pPr>
            <w:r w:rsidRPr="00CD0C90">
              <w:rPr>
                <w:rFonts w:asciiTheme="majorHAnsi" w:eastAsia="Times New Roman" w:hAnsiTheme="majorHAnsi" w:cstheme="majorHAnsi"/>
                <w:color w:val="242424"/>
                <w:lang w:val="es-ES"/>
              </w:rPr>
              <w:t>Proposición 011 de 2024</w:t>
            </w:r>
          </w:p>
        </w:tc>
        <w:tc>
          <w:tcPr>
            <w:tcW w:w="2175" w:type="dxa"/>
            <w:vAlign w:val="center"/>
            <w:hideMark/>
          </w:tcPr>
          <w:p w14:paraId="3FCAA929"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rPr>
            </w:pPr>
            <w:r w:rsidRPr="00CD0C90">
              <w:rPr>
                <w:rFonts w:asciiTheme="majorHAnsi" w:eastAsia="Times New Roman" w:hAnsiTheme="majorHAnsi" w:cstheme="majorHAnsi"/>
                <w:color w:val="242424"/>
                <w:lang w:val="es-ES"/>
              </w:rPr>
              <w:t>Tarifas en el servicio de energía eléctrica y adición a la proposición</w:t>
            </w:r>
          </w:p>
        </w:tc>
        <w:tc>
          <w:tcPr>
            <w:tcW w:w="2250" w:type="dxa"/>
            <w:vAlign w:val="center"/>
            <w:hideMark/>
          </w:tcPr>
          <w:p w14:paraId="5CC851AD"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-Enlace a </w:t>
            </w:r>
            <w:hyperlink r:id="rId22" w:tgtFrame="_blank" w:history="1">
              <w:r w:rsidRPr="00CD0C90">
                <w:rPr>
                  <w:rFonts w:asciiTheme="majorHAnsi" w:eastAsia="Times New Roman" w:hAnsiTheme="majorHAnsi" w:cstheme="majorHAnsi"/>
                  <w:color w:val="467886"/>
                  <w:u w:val="single"/>
                  <w:lang w:val="es-ES"/>
                </w:rPr>
                <w:t>primera respuesta</w:t>
              </w:r>
            </w:hyperlink>
            <w:r w:rsidRPr="00CD0C90">
              <w:rPr>
                <w:rFonts w:asciiTheme="majorHAnsi" w:eastAsia="Times New Roman" w:hAnsiTheme="majorHAnsi" w:cstheme="majorHAnsi"/>
                <w:color w:val="242424"/>
                <w:lang w:val="es-ES"/>
              </w:rPr>
              <w:t> de la proposición.</w:t>
            </w:r>
          </w:p>
          <w:p w14:paraId="0BF23424"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lang w:val="es-ES"/>
              </w:rPr>
              <w:t>-</w:t>
            </w:r>
            <w:hyperlink r:id="rId23" w:tgtFrame="_blank" w:history="1">
              <w:r w:rsidRPr="00CD0C90">
                <w:rPr>
                  <w:rFonts w:asciiTheme="majorHAnsi" w:eastAsia="Times New Roman" w:hAnsiTheme="majorHAnsi" w:cstheme="majorHAnsi"/>
                  <w:color w:val="467886"/>
                  <w:u w:val="single"/>
                  <w:lang w:val="es-ES"/>
                </w:rPr>
                <w:t>Respuesta a adición</w:t>
              </w:r>
            </w:hyperlink>
            <w:r w:rsidRPr="00CD0C90">
              <w:rPr>
                <w:rFonts w:asciiTheme="majorHAnsi" w:eastAsia="Times New Roman" w:hAnsiTheme="majorHAnsi" w:cstheme="majorHAnsi"/>
                <w:color w:val="242424"/>
                <w:lang w:val="es-ES"/>
              </w:rPr>
              <w:t> de la proposición.</w:t>
            </w:r>
          </w:p>
        </w:tc>
        <w:tc>
          <w:tcPr>
            <w:tcW w:w="1750" w:type="dxa"/>
            <w:vAlign w:val="center"/>
            <w:hideMark/>
          </w:tcPr>
          <w:p w14:paraId="65C6F7D5"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Senado - Comisión VI</w:t>
            </w:r>
          </w:p>
        </w:tc>
        <w:tc>
          <w:tcPr>
            <w:tcW w:w="1397" w:type="dxa"/>
            <w:vAlign w:val="center"/>
            <w:hideMark/>
          </w:tcPr>
          <w:p w14:paraId="1D1E8D68"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Enlace </w:t>
            </w:r>
            <w:hyperlink r:id="rId24" w:tgtFrame="_blank" w:history="1">
              <w:r w:rsidRPr="00CD0C90">
                <w:rPr>
                  <w:rFonts w:asciiTheme="majorHAnsi" w:eastAsia="Times New Roman" w:hAnsiTheme="majorHAnsi" w:cstheme="majorHAnsi"/>
                  <w:color w:val="467886"/>
                  <w:u w:val="single"/>
                  <w:lang w:val="es-ES"/>
                </w:rPr>
                <w:t>aquí</w:t>
              </w:r>
            </w:hyperlink>
          </w:p>
        </w:tc>
      </w:tr>
      <w:tr w:rsidR="00C50F13" w:rsidRPr="00CD0C90" w14:paraId="55C8DC77" w14:textId="77777777" w:rsidTr="003D3896">
        <w:trPr>
          <w:trHeight w:val="30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49A15D99" w14:textId="77777777" w:rsidR="00C50F13" w:rsidRPr="00CD0C90" w:rsidRDefault="00C50F13" w:rsidP="00CD0C90">
            <w:pPr>
              <w:spacing w:line="276" w:lineRule="auto"/>
              <w:jc w:val="center"/>
              <w:textAlignment w:val="baseline"/>
              <w:rPr>
                <w:rFonts w:asciiTheme="majorHAnsi" w:eastAsia="Times New Roman" w:hAnsiTheme="majorHAnsi" w:cstheme="majorHAnsi"/>
              </w:rPr>
            </w:pPr>
            <w:r w:rsidRPr="00CD0C90">
              <w:rPr>
                <w:rFonts w:asciiTheme="majorHAnsi" w:eastAsia="Times New Roman" w:hAnsiTheme="majorHAnsi" w:cstheme="majorHAnsi"/>
                <w:color w:val="242424"/>
                <w:lang w:val="es-ES"/>
              </w:rPr>
              <w:t>Proposición 013 de 2024</w:t>
            </w:r>
          </w:p>
        </w:tc>
        <w:tc>
          <w:tcPr>
            <w:tcW w:w="2175" w:type="dxa"/>
            <w:vAlign w:val="center"/>
            <w:hideMark/>
          </w:tcPr>
          <w:p w14:paraId="4E90A061"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rPr>
            </w:pPr>
            <w:r w:rsidRPr="00CD0C90">
              <w:rPr>
                <w:rFonts w:asciiTheme="majorHAnsi" w:eastAsia="Times New Roman" w:hAnsiTheme="majorHAnsi" w:cstheme="majorHAnsi"/>
                <w:color w:val="242424"/>
                <w:lang w:val="es-ES"/>
              </w:rPr>
              <w:t>TEJ y abastecimiento de gas</w:t>
            </w:r>
          </w:p>
        </w:tc>
        <w:tc>
          <w:tcPr>
            <w:tcW w:w="2250" w:type="dxa"/>
            <w:vAlign w:val="center"/>
            <w:hideMark/>
          </w:tcPr>
          <w:p w14:paraId="1D65955D"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Enlace a </w:t>
            </w:r>
            <w:hyperlink r:id="rId25" w:tgtFrame="_blank" w:history="1">
              <w:r w:rsidRPr="00CD0C90">
                <w:rPr>
                  <w:rFonts w:asciiTheme="majorHAnsi" w:eastAsia="Times New Roman" w:hAnsiTheme="majorHAnsi" w:cstheme="majorHAnsi"/>
                  <w:color w:val="467886"/>
                  <w:u w:val="single"/>
                  <w:lang w:val="es-ES"/>
                </w:rPr>
                <w:t>respuesta</w:t>
              </w:r>
            </w:hyperlink>
          </w:p>
        </w:tc>
        <w:tc>
          <w:tcPr>
            <w:tcW w:w="1750" w:type="dxa"/>
            <w:vAlign w:val="center"/>
            <w:hideMark/>
          </w:tcPr>
          <w:p w14:paraId="5D1FC861"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Senado - Comisión VII</w:t>
            </w:r>
          </w:p>
        </w:tc>
        <w:tc>
          <w:tcPr>
            <w:tcW w:w="1397" w:type="dxa"/>
            <w:vAlign w:val="center"/>
            <w:hideMark/>
          </w:tcPr>
          <w:p w14:paraId="275728E7"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p>
        </w:tc>
      </w:tr>
      <w:tr w:rsidR="00C50F13" w:rsidRPr="00CD0C90" w14:paraId="60DE1971" w14:textId="77777777" w:rsidTr="003D3896">
        <w:trPr>
          <w:trHeight w:val="30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15BEA410" w14:textId="77777777" w:rsidR="00C50F13" w:rsidRPr="00CD0C90" w:rsidRDefault="00C50F13" w:rsidP="00CD0C90">
            <w:pPr>
              <w:spacing w:line="276" w:lineRule="auto"/>
              <w:jc w:val="center"/>
              <w:textAlignment w:val="baseline"/>
              <w:rPr>
                <w:rFonts w:asciiTheme="majorHAnsi" w:eastAsia="Times New Roman" w:hAnsiTheme="majorHAnsi" w:cstheme="majorHAnsi"/>
              </w:rPr>
            </w:pPr>
            <w:r w:rsidRPr="00CD0C90">
              <w:rPr>
                <w:rFonts w:asciiTheme="majorHAnsi" w:eastAsia="Times New Roman" w:hAnsiTheme="majorHAnsi" w:cstheme="majorHAnsi"/>
                <w:color w:val="242424"/>
                <w:lang w:val="es-ES"/>
              </w:rPr>
              <w:t>Proposición 014 de 2025</w:t>
            </w:r>
          </w:p>
        </w:tc>
        <w:tc>
          <w:tcPr>
            <w:tcW w:w="2175" w:type="dxa"/>
            <w:vAlign w:val="center"/>
            <w:hideMark/>
          </w:tcPr>
          <w:p w14:paraId="4DA8C3B1"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rPr>
            </w:pPr>
            <w:r w:rsidRPr="00CD0C90">
              <w:rPr>
                <w:rFonts w:asciiTheme="majorHAnsi" w:eastAsia="Times New Roman" w:hAnsiTheme="majorHAnsi" w:cstheme="majorHAnsi"/>
                <w:color w:val="242424"/>
                <w:lang w:val="es-ES"/>
              </w:rPr>
              <w:t>Presupuesto sector minero-energético</w:t>
            </w:r>
          </w:p>
        </w:tc>
        <w:tc>
          <w:tcPr>
            <w:tcW w:w="2250" w:type="dxa"/>
            <w:vAlign w:val="center"/>
            <w:hideMark/>
          </w:tcPr>
          <w:p w14:paraId="5E683AE2"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Enlace a </w:t>
            </w:r>
            <w:hyperlink r:id="rId26" w:tgtFrame="_blank" w:history="1">
              <w:r w:rsidRPr="00CD0C90">
                <w:rPr>
                  <w:rFonts w:asciiTheme="majorHAnsi" w:eastAsia="Times New Roman" w:hAnsiTheme="majorHAnsi" w:cstheme="majorHAnsi"/>
                  <w:color w:val="467886"/>
                  <w:u w:val="single"/>
                  <w:lang w:val="es-ES"/>
                </w:rPr>
                <w:t>respuesta</w:t>
              </w:r>
            </w:hyperlink>
          </w:p>
        </w:tc>
        <w:tc>
          <w:tcPr>
            <w:tcW w:w="1750" w:type="dxa"/>
            <w:vAlign w:val="center"/>
            <w:hideMark/>
          </w:tcPr>
          <w:p w14:paraId="5FA7EB48"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Cámara de Representantes - Comisión V</w:t>
            </w:r>
          </w:p>
        </w:tc>
        <w:tc>
          <w:tcPr>
            <w:tcW w:w="1397" w:type="dxa"/>
            <w:vAlign w:val="center"/>
            <w:hideMark/>
          </w:tcPr>
          <w:p w14:paraId="47FA1AAC"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p>
        </w:tc>
      </w:tr>
      <w:tr w:rsidR="00C50F13" w:rsidRPr="00CD0C90" w14:paraId="663E50C4" w14:textId="77777777" w:rsidTr="003D3896">
        <w:trPr>
          <w:trHeight w:val="30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4382DF8A" w14:textId="77777777" w:rsidR="00C50F13" w:rsidRPr="00CD0C90" w:rsidRDefault="00C50F13" w:rsidP="00CD0C90">
            <w:pPr>
              <w:spacing w:line="276" w:lineRule="auto"/>
              <w:jc w:val="center"/>
              <w:textAlignment w:val="baseline"/>
              <w:rPr>
                <w:rFonts w:asciiTheme="majorHAnsi" w:eastAsia="Times New Roman" w:hAnsiTheme="majorHAnsi" w:cstheme="majorHAnsi"/>
              </w:rPr>
            </w:pPr>
            <w:r w:rsidRPr="00CD0C90">
              <w:rPr>
                <w:rFonts w:asciiTheme="majorHAnsi" w:eastAsia="Times New Roman" w:hAnsiTheme="majorHAnsi" w:cstheme="majorHAnsi"/>
                <w:color w:val="242424"/>
                <w:lang w:val="es-ES"/>
              </w:rPr>
              <w:t>Proposición 023 de 2025</w:t>
            </w:r>
          </w:p>
        </w:tc>
        <w:tc>
          <w:tcPr>
            <w:tcW w:w="2175" w:type="dxa"/>
            <w:vAlign w:val="center"/>
            <w:hideMark/>
          </w:tcPr>
          <w:p w14:paraId="0EC682A8"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rPr>
            </w:pPr>
            <w:r w:rsidRPr="00CD0C90">
              <w:rPr>
                <w:rFonts w:asciiTheme="majorHAnsi" w:eastAsia="Times New Roman" w:hAnsiTheme="majorHAnsi" w:cstheme="majorHAnsi"/>
                <w:color w:val="242424"/>
                <w:lang w:val="es-ES"/>
              </w:rPr>
              <w:t>Avances en la TEJ</w:t>
            </w:r>
          </w:p>
        </w:tc>
        <w:tc>
          <w:tcPr>
            <w:tcW w:w="2250" w:type="dxa"/>
            <w:vAlign w:val="center"/>
            <w:hideMark/>
          </w:tcPr>
          <w:p w14:paraId="708F327B"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Enlace a </w:t>
            </w:r>
            <w:hyperlink r:id="rId27" w:tgtFrame="_blank" w:history="1">
              <w:r w:rsidRPr="00CD0C90">
                <w:rPr>
                  <w:rFonts w:asciiTheme="majorHAnsi" w:eastAsia="Times New Roman" w:hAnsiTheme="majorHAnsi" w:cstheme="majorHAnsi"/>
                  <w:color w:val="467886"/>
                  <w:u w:val="single"/>
                  <w:lang w:val="es-ES"/>
                </w:rPr>
                <w:t>respuesta</w:t>
              </w:r>
            </w:hyperlink>
          </w:p>
        </w:tc>
        <w:tc>
          <w:tcPr>
            <w:tcW w:w="1750" w:type="dxa"/>
            <w:vAlign w:val="center"/>
            <w:hideMark/>
          </w:tcPr>
          <w:p w14:paraId="40909584"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Cámara de Representantes - Comisión V</w:t>
            </w:r>
          </w:p>
        </w:tc>
        <w:tc>
          <w:tcPr>
            <w:tcW w:w="1397" w:type="dxa"/>
            <w:vAlign w:val="center"/>
            <w:hideMark/>
          </w:tcPr>
          <w:p w14:paraId="05C4B41C"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p>
        </w:tc>
      </w:tr>
      <w:tr w:rsidR="00C50F13" w:rsidRPr="00CD0C90" w14:paraId="7BB06820" w14:textId="77777777" w:rsidTr="003D3896">
        <w:trPr>
          <w:trHeight w:val="30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7FAD4AB0" w14:textId="77777777" w:rsidR="00C50F13" w:rsidRPr="00CD0C90" w:rsidRDefault="00C50F13" w:rsidP="00CD0C90">
            <w:pPr>
              <w:spacing w:line="276" w:lineRule="auto"/>
              <w:jc w:val="center"/>
              <w:textAlignment w:val="baseline"/>
              <w:rPr>
                <w:rFonts w:asciiTheme="majorHAnsi" w:eastAsia="Times New Roman" w:hAnsiTheme="majorHAnsi" w:cstheme="majorHAnsi"/>
              </w:rPr>
            </w:pPr>
            <w:r w:rsidRPr="00CD0C90">
              <w:rPr>
                <w:rFonts w:asciiTheme="majorHAnsi" w:eastAsia="Times New Roman" w:hAnsiTheme="majorHAnsi" w:cstheme="majorHAnsi"/>
                <w:color w:val="242424"/>
                <w:lang w:val="es-ES"/>
              </w:rPr>
              <w:t>Proposición 033 de 2025</w:t>
            </w:r>
          </w:p>
        </w:tc>
        <w:tc>
          <w:tcPr>
            <w:tcW w:w="2175" w:type="dxa"/>
            <w:vAlign w:val="center"/>
            <w:hideMark/>
          </w:tcPr>
          <w:p w14:paraId="361739D3"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rPr>
            </w:pPr>
            <w:r w:rsidRPr="00CD0C90">
              <w:rPr>
                <w:rFonts w:asciiTheme="majorHAnsi" w:eastAsia="Times New Roman" w:hAnsiTheme="majorHAnsi" w:cstheme="majorHAnsi"/>
                <w:color w:val="242424"/>
                <w:lang w:val="es-ES"/>
              </w:rPr>
              <w:t>Informe sector minero</w:t>
            </w:r>
          </w:p>
        </w:tc>
        <w:tc>
          <w:tcPr>
            <w:tcW w:w="2250" w:type="dxa"/>
            <w:vAlign w:val="center"/>
            <w:hideMark/>
          </w:tcPr>
          <w:p w14:paraId="34121F1B"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Enlace a </w:t>
            </w:r>
            <w:hyperlink r:id="rId28" w:tgtFrame="_blank" w:history="1">
              <w:r w:rsidRPr="00CD0C90">
                <w:rPr>
                  <w:rFonts w:asciiTheme="majorHAnsi" w:eastAsia="Times New Roman" w:hAnsiTheme="majorHAnsi" w:cstheme="majorHAnsi"/>
                  <w:color w:val="467886"/>
                  <w:u w:val="single"/>
                  <w:lang w:val="es-ES"/>
                </w:rPr>
                <w:t>respuesta</w:t>
              </w:r>
            </w:hyperlink>
          </w:p>
        </w:tc>
        <w:tc>
          <w:tcPr>
            <w:tcW w:w="1750" w:type="dxa"/>
            <w:vAlign w:val="center"/>
            <w:hideMark/>
          </w:tcPr>
          <w:p w14:paraId="36402547"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Senado - Comisión I</w:t>
            </w:r>
          </w:p>
        </w:tc>
        <w:tc>
          <w:tcPr>
            <w:tcW w:w="1397" w:type="dxa"/>
            <w:vAlign w:val="center"/>
            <w:hideMark/>
          </w:tcPr>
          <w:p w14:paraId="55E2DFCC"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p>
        </w:tc>
      </w:tr>
      <w:tr w:rsidR="00C50F13" w:rsidRPr="00CD0C90" w14:paraId="28B2D74B" w14:textId="77777777" w:rsidTr="003D3896">
        <w:trPr>
          <w:trHeight w:val="30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39979DB8" w14:textId="77777777" w:rsidR="00C50F13" w:rsidRPr="00CD0C90" w:rsidRDefault="00C50F13" w:rsidP="00CD0C90">
            <w:pPr>
              <w:spacing w:line="276" w:lineRule="auto"/>
              <w:jc w:val="center"/>
              <w:textAlignment w:val="baseline"/>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Proposición 036 de 2025</w:t>
            </w:r>
          </w:p>
        </w:tc>
        <w:tc>
          <w:tcPr>
            <w:tcW w:w="2175" w:type="dxa"/>
            <w:vAlign w:val="center"/>
            <w:hideMark/>
          </w:tcPr>
          <w:p w14:paraId="088A6CB2"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Situación del gas natural</w:t>
            </w:r>
          </w:p>
        </w:tc>
        <w:tc>
          <w:tcPr>
            <w:tcW w:w="2250" w:type="dxa"/>
            <w:vAlign w:val="center"/>
            <w:hideMark/>
          </w:tcPr>
          <w:p w14:paraId="41789BC4"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Enlace a </w:t>
            </w:r>
            <w:hyperlink r:id="rId29" w:tgtFrame="_blank" w:history="1">
              <w:r w:rsidRPr="00CD0C90">
                <w:rPr>
                  <w:rFonts w:asciiTheme="majorHAnsi" w:eastAsia="Times New Roman" w:hAnsiTheme="majorHAnsi" w:cstheme="majorHAnsi"/>
                  <w:color w:val="467886"/>
                  <w:u w:val="single"/>
                  <w:lang w:val="es-ES"/>
                </w:rPr>
                <w:t>respuesta</w:t>
              </w:r>
            </w:hyperlink>
          </w:p>
        </w:tc>
        <w:tc>
          <w:tcPr>
            <w:tcW w:w="1750" w:type="dxa"/>
            <w:vAlign w:val="center"/>
            <w:hideMark/>
          </w:tcPr>
          <w:p w14:paraId="4AFC8365"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Cámara de Representantes - Comisión V</w:t>
            </w:r>
          </w:p>
        </w:tc>
        <w:tc>
          <w:tcPr>
            <w:tcW w:w="1397" w:type="dxa"/>
            <w:vAlign w:val="center"/>
            <w:hideMark/>
          </w:tcPr>
          <w:p w14:paraId="5449A7AF"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p>
        </w:tc>
      </w:tr>
      <w:tr w:rsidR="00C50F13" w:rsidRPr="00CD0C90" w14:paraId="67454414" w14:textId="77777777" w:rsidTr="003D3896">
        <w:trPr>
          <w:trHeight w:val="30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6FFA0F3E" w14:textId="77777777" w:rsidR="00C50F13" w:rsidRPr="00CD0C90" w:rsidRDefault="00C50F13" w:rsidP="00CD0C90">
            <w:pPr>
              <w:spacing w:line="276" w:lineRule="auto"/>
              <w:jc w:val="center"/>
              <w:textAlignment w:val="baseline"/>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Proposición 191 de 2025</w:t>
            </w:r>
          </w:p>
        </w:tc>
        <w:tc>
          <w:tcPr>
            <w:tcW w:w="2175" w:type="dxa"/>
            <w:vAlign w:val="center"/>
            <w:hideMark/>
          </w:tcPr>
          <w:p w14:paraId="6727A3CC"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Cierre PRODECO</w:t>
            </w:r>
          </w:p>
        </w:tc>
        <w:tc>
          <w:tcPr>
            <w:tcW w:w="2250" w:type="dxa"/>
            <w:vAlign w:val="center"/>
            <w:hideMark/>
          </w:tcPr>
          <w:p w14:paraId="76C3C710"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Enlace a </w:t>
            </w:r>
            <w:hyperlink r:id="rId30" w:tgtFrame="_blank" w:history="1">
              <w:r w:rsidRPr="00CD0C90">
                <w:rPr>
                  <w:rFonts w:asciiTheme="majorHAnsi" w:eastAsia="Times New Roman" w:hAnsiTheme="majorHAnsi" w:cstheme="majorHAnsi"/>
                  <w:color w:val="467886"/>
                  <w:u w:val="single"/>
                  <w:lang w:val="es-ES"/>
                </w:rPr>
                <w:t>respuesta</w:t>
              </w:r>
            </w:hyperlink>
          </w:p>
        </w:tc>
        <w:tc>
          <w:tcPr>
            <w:tcW w:w="1750" w:type="dxa"/>
            <w:vAlign w:val="center"/>
            <w:hideMark/>
          </w:tcPr>
          <w:p w14:paraId="4FB8979D"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r w:rsidRPr="00CD0C90">
              <w:rPr>
                <w:rFonts w:asciiTheme="majorHAnsi" w:eastAsia="Times New Roman" w:hAnsiTheme="majorHAnsi" w:cstheme="majorHAnsi"/>
                <w:color w:val="242424"/>
                <w:lang w:val="es-ES"/>
              </w:rPr>
              <w:t>Senado - Comisión V</w:t>
            </w:r>
          </w:p>
        </w:tc>
        <w:tc>
          <w:tcPr>
            <w:tcW w:w="1397" w:type="dxa"/>
            <w:vAlign w:val="center"/>
            <w:hideMark/>
          </w:tcPr>
          <w:p w14:paraId="779D43F7" w14:textId="77777777" w:rsidR="00C50F13" w:rsidRPr="00CD0C90" w:rsidRDefault="00C50F13" w:rsidP="00CD0C90">
            <w:pPr>
              <w:spacing w:line="276"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val="es-ES"/>
              </w:rPr>
            </w:pPr>
          </w:p>
        </w:tc>
      </w:tr>
    </w:tbl>
    <w:p w14:paraId="67519C17"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b/>
          <w:bCs/>
        </w:rPr>
        <w:t>Fuente:</w:t>
      </w:r>
      <w:r w:rsidRPr="00CD0C90">
        <w:rPr>
          <w:rFonts w:asciiTheme="majorHAnsi" w:hAnsiTheme="majorHAnsi" w:cstheme="majorHAnsi"/>
        </w:rPr>
        <w:t xml:space="preserve"> Elaboración propia</w:t>
      </w:r>
    </w:p>
    <w:p w14:paraId="40DDFC9E" w14:textId="395FD937" w:rsidR="00C50F13" w:rsidRPr="00CD0C90" w:rsidRDefault="00C50F13" w:rsidP="00CD0C90">
      <w:pPr>
        <w:pStyle w:val="Ttulo4"/>
        <w:rPr>
          <w:rFonts w:asciiTheme="majorHAnsi" w:hAnsiTheme="majorHAnsi" w:cstheme="majorHAnsi"/>
          <w:sz w:val="22"/>
          <w:szCs w:val="22"/>
          <w:lang w:val="es-ES"/>
        </w:rPr>
      </w:pPr>
      <w:r w:rsidRPr="00CD0C90">
        <w:rPr>
          <w:rFonts w:asciiTheme="majorHAnsi" w:hAnsiTheme="majorHAnsi" w:cstheme="majorHAnsi"/>
          <w:sz w:val="22"/>
          <w:szCs w:val="22"/>
          <w:lang w:val="es-ES"/>
        </w:rPr>
        <w:t>I) Proposición 108 de 2024 </w:t>
      </w:r>
    </w:p>
    <w:p w14:paraId="1F310035" w14:textId="0BC4A173"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Durante el debate, los congresistas señalaron los altos costos de la energía, que afectan de manera desproporcionada a los hogares más vulnerables y a las pequeñas empresas. La percepción general es que las tarifas han aumentado sin que exista una explicación clara ni una compensación suficiente para los usuarios. En segundo lugar, se denunció la desigualdad regional en las tarifas, especialmente en la Costa Caribe, donde los costos son más elevados que en otras zonas del país. Este punto fue presentado como una muestra de inequidad y abandono estatal hacia regiones históricamente marginadas. En tercer lugar, los legisladores advirtieron sobre la insostenibilidad de los subsidios que, si bien alivian temporalmente la carga de los usuarios, representan un riesgo para las finanzas públicas si no se reforman de manera </w:t>
      </w:r>
      <w:r w:rsidRPr="00CD0C90">
        <w:rPr>
          <w:rFonts w:asciiTheme="majorHAnsi" w:hAnsiTheme="majorHAnsi" w:cstheme="majorHAnsi"/>
          <w:lang w:val="es-ES"/>
        </w:rPr>
        <w:lastRenderedPageBreak/>
        <w:t xml:space="preserve">estructural. Finalmente, se cuestionó la planeación energética del Ministerio, acusándolo de no comunicar con suficiente transparencia los costos, plazos y beneficios de la transición hacia energías renovables, lo que genera desconfianza y dificulta el respaldo político a las iniciativas del </w:t>
      </w:r>
      <w:r w:rsidR="001D4B0A" w:rsidRPr="00CD0C90">
        <w:rPr>
          <w:rFonts w:asciiTheme="majorHAnsi" w:hAnsiTheme="majorHAnsi" w:cstheme="majorHAnsi"/>
          <w:lang w:val="es-ES"/>
        </w:rPr>
        <w:t>ejecutivo</w:t>
      </w:r>
      <w:r w:rsidRPr="00CD0C90">
        <w:rPr>
          <w:rFonts w:asciiTheme="majorHAnsi" w:hAnsiTheme="majorHAnsi" w:cstheme="majorHAnsi"/>
          <w:lang w:val="es-ES"/>
        </w:rPr>
        <w:t>. </w:t>
      </w:r>
    </w:p>
    <w:p w14:paraId="35E1BDAF"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b/>
          <w:bCs/>
          <w:lang w:val="es-ES"/>
        </w:rPr>
        <w:t>Principales críticas del legislativo:</w:t>
      </w:r>
      <w:r w:rsidRPr="00CD0C90">
        <w:rPr>
          <w:rFonts w:asciiTheme="majorHAnsi" w:hAnsiTheme="majorHAnsi" w:cstheme="majorHAnsi"/>
          <w:lang w:val="es-ES"/>
        </w:rPr>
        <w:t> </w:t>
      </w:r>
    </w:p>
    <w:p w14:paraId="3036A08B" w14:textId="77777777" w:rsidR="00C50F13" w:rsidRPr="00CD0C90" w:rsidRDefault="00C50F13" w:rsidP="00CD0C90">
      <w:pPr>
        <w:numPr>
          <w:ilvl w:val="0"/>
          <w:numId w:val="6"/>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Transición energética: Se cuestionó la velocidad y claridad de la transición hacia energías limpias, señalando riesgos de desabastecimiento si se reduce demasiado rápido la dependencia de hidrocarburos. </w:t>
      </w:r>
    </w:p>
    <w:p w14:paraId="3AB9B04A" w14:textId="77777777" w:rsidR="00C50F13" w:rsidRPr="00CD0C90" w:rsidRDefault="00C50F13" w:rsidP="00CD0C90">
      <w:pPr>
        <w:numPr>
          <w:ilvl w:val="0"/>
          <w:numId w:val="7"/>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Tarifas de energía: Varios congresistas criticaron el aumento en los costos de electricidad y gas, pidiendo medidas más efectivas para proteger a los usuarios. </w:t>
      </w:r>
    </w:p>
    <w:p w14:paraId="00ACDEC7" w14:textId="77777777" w:rsidR="00C50F13" w:rsidRPr="00CD0C90" w:rsidRDefault="00C50F13" w:rsidP="00CD0C90">
      <w:pPr>
        <w:numPr>
          <w:ilvl w:val="0"/>
          <w:numId w:val="8"/>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Explotación minera: Se plantearon preocupaciones sobre impactos ambientales y sociales, especialmente en territorios indígenas y campesinos. </w:t>
      </w:r>
    </w:p>
    <w:p w14:paraId="02EB2E3F" w14:textId="77777777" w:rsidR="00C50F13" w:rsidRPr="00CD0C90" w:rsidRDefault="00C50F13" w:rsidP="00CD0C90">
      <w:pPr>
        <w:numPr>
          <w:ilvl w:val="0"/>
          <w:numId w:val="9"/>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Relación con comunidades: Legisladores exigieron mayor consulta previa y participación ciudadana en proyectos energéticos y mineros. </w:t>
      </w:r>
    </w:p>
    <w:p w14:paraId="1359D1FA"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b/>
          <w:bCs/>
          <w:lang w:val="es-ES"/>
        </w:rPr>
        <w:t>Estrategia del MME:</w:t>
      </w:r>
      <w:r w:rsidRPr="00CD0C90">
        <w:rPr>
          <w:rFonts w:asciiTheme="majorHAnsi" w:hAnsiTheme="majorHAnsi" w:cstheme="majorHAnsi"/>
          <w:lang w:val="es-ES"/>
        </w:rPr>
        <w:t> </w:t>
      </w:r>
    </w:p>
    <w:p w14:paraId="77D90D70" w14:textId="77777777" w:rsidR="00C50F13" w:rsidRPr="00CD0C90" w:rsidRDefault="00C50F13" w:rsidP="00CD0C90">
      <w:pPr>
        <w:numPr>
          <w:ilvl w:val="0"/>
          <w:numId w:val="10"/>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Plan de transición: El Ministerio defendió que la transición debe ser gradual, garantizando seguridad energética y estabilidad económica. </w:t>
      </w:r>
    </w:p>
    <w:p w14:paraId="5CE57A48" w14:textId="77777777" w:rsidR="00C50F13" w:rsidRPr="00CD0C90" w:rsidRDefault="00C50F13" w:rsidP="00CD0C90">
      <w:pPr>
        <w:numPr>
          <w:ilvl w:val="0"/>
          <w:numId w:val="11"/>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Subsidios y regulación: Se mencionaron programas de subsidios y ajustes regulatorios para mitigar el impacto de las tarifas. </w:t>
      </w:r>
    </w:p>
    <w:p w14:paraId="6A9116A9" w14:textId="77777777" w:rsidR="00C50F13" w:rsidRPr="00CD0C90" w:rsidRDefault="00C50F13" w:rsidP="00CD0C90">
      <w:pPr>
        <w:numPr>
          <w:ilvl w:val="0"/>
          <w:numId w:val="12"/>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Inversión en renovables: Se destacaron proyectos solares y eólicos en marcha, aunque reconocieron retrasos por trámites y conflictos sociales. </w:t>
      </w:r>
    </w:p>
    <w:p w14:paraId="5B1F50EC" w14:textId="77777777" w:rsidR="00C50F13" w:rsidRPr="00CD0C90" w:rsidRDefault="00C50F13" w:rsidP="00CD0C90">
      <w:pPr>
        <w:numPr>
          <w:ilvl w:val="0"/>
          <w:numId w:val="13"/>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Diálogo con comunidades: El Ministerio afirmó estar fortaleciendo mecanismos de participación, aunque admitió que aún hay brechas. </w:t>
      </w:r>
    </w:p>
    <w:p w14:paraId="5B704D6B"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De manera unánime, los congresistas insistieron en la necesidad de acelerar la transición energética, pero al mismo tiempo alertaron sobre los riesgos de desabastecimiento y el impacto económico de una reducción abrupta en la explotación de hidrocarburo. Esto obliga al Ministerio a diseñar una hoja de ruta que combine gradualidad con resultados visibles ante una percepción de improvisación de esta cartera, que debilita la confianza política. </w:t>
      </w:r>
    </w:p>
    <w:p w14:paraId="7E56D9FC"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Los legisladores reclamaron medidas más contundentes para aliviar la carga de los hogares y sectores productivos, mientras el Ministerio defendió los mecanismos regulatorios y subsidios existentes, aunque </w:t>
      </w:r>
      <w:r w:rsidRPr="00CD0C90">
        <w:rPr>
          <w:rFonts w:asciiTheme="majorHAnsi" w:hAnsiTheme="majorHAnsi" w:cstheme="majorHAnsi"/>
          <w:lang w:val="es-ES"/>
        </w:rPr>
        <w:lastRenderedPageBreak/>
        <w:t>reconoció que la estructura tarifaria sigue siendo inequitativa. Adicionalmente, existe una gran presión sobre la explotación minera, en tanto los congresistas cuestionaron los impactos ambientales y sociales, exigiendo mayor consulta previa y participación ciudadana. El Ministerio respondió con compromisos de diálogo, pero la brecha entre discurso y práctica aún genera desconfianza. </w:t>
      </w:r>
    </w:p>
    <w:p w14:paraId="64F589C3"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El mayor reto para el Ministerio es articular una relación más fluida con el legislativo, que no se limite a responder cuestionamientos puntuales, sino que construya consensos duraderos sobre el modelo energético y minero del país. Esto implica fortalecer la comunicación institucional, presentar informes periódicos con indicadores claros, acelerar la ejecución de proyectos de energías renovables, y garantizar que las comunidades afectadas participen de manera real en la toma de decisiones. Es importante para la entidad demostrar capacidad de gestión, sensibilidad territorial y voluntad de concertación, porque de lo contrario, el legislativo podría ser reticente las iniciativas en el marco de transición energética, debilitando la gobernabilidad del ejecutivo. </w:t>
      </w:r>
    </w:p>
    <w:p w14:paraId="3AB2E95D" w14:textId="70633B7F" w:rsidR="00C50F13" w:rsidRPr="00CD0C90" w:rsidRDefault="00C50F13" w:rsidP="00CD0C90">
      <w:pPr>
        <w:pStyle w:val="Ttulo4"/>
        <w:rPr>
          <w:rFonts w:asciiTheme="majorHAnsi" w:hAnsiTheme="majorHAnsi" w:cstheme="majorHAnsi"/>
          <w:sz w:val="22"/>
          <w:szCs w:val="22"/>
          <w:lang w:val="es-ES"/>
        </w:rPr>
      </w:pPr>
      <w:r w:rsidRPr="00CD0C90">
        <w:rPr>
          <w:rFonts w:asciiTheme="majorHAnsi" w:hAnsiTheme="majorHAnsi" w:cstheme="majorHAnsi"/>
          <w:sz w:val="22"/>
          <w:szCs w:val="22"/>
          <w:lang w:val="es-ES"/>
        </w:rPr>
        <w:t>II) Proposición 011 de 2024 </w:t>
      </w:r>
    </w:p>
    <w:p w14:paraId="7CAF615C"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El debate de control político se centró en las tarifas de energía eléctrica y sus impactos económicos. Sin embargo, más allá de la coyuntura tarifaria, el trasfondo del debate revela tensiones estructurales entre el ejecutivo (Ministerio) y el legislativo (Congreso) en torno a la transición energética. </w:t>
      </w:r>
    </w:p>
    <w:p w14:paraId="6F36F8AF"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b/>
          <w:bCs/>
          <w:lang w:val="es-ES"/>
        </w:rPr>
        <w:t>Principales críticas del legislativo:</w:t>
      </w:r>
      <w:r w:rsidRPr="00CD0C90">
        <w:rPr>
          <w:rFonts w:asciiTheme="majorHAnsi" w:hAnsiTheme="majorHAnsi" w:cstheme="majorHAnsi"/>
          <w:lang w:val="es-ES"/>
        </w:rPr>
        <w:t> </w:t>
      </w:r>
    </w:p>
    <w:p w14:paraId="2AEF51EE" w14:textId="77777777" w:rsidR="00C50F13" w:rsidRPr="00CD0C90" w:rsidRDefault="00C50F13" w:rsidP="00CD0C90">
      <w:pPr>
        <w:numPr>
          <w:ilvl w:val="0"/>
          <w:numId w:val="14"/>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Altos costos de energía: Congresistas señalaron que las tarifas han crecido de manera desproporcionada respecto al ingreso de los hogares. </w:t>
      </w:r>
    </w:p>
    <w:p w14:paraId="3A26D0C8" w14:textId="77777777" w:rsidR="00C50F13" w:rsidRPr="00CD0C90" w:rsidRDefault="00C50F13" w:rsidP="00CD0C90">
      <w:pPr>
        <w:numPr>
          <w:ilvl w:val="0"/>
          <w:numId w:val="15"/>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Desigualdad regional: Se denunció que la Costa Caribe y otras zonas pagan tarifas más altas que el promedio nacional. </w:t>
      </w:r>
    </w:p>
    <w:p w14:paraId="7E2460C5" w14:textId="77777777" w:rsidR="00C50F13" w:rsidRPr="00CD0C90" w:rsidRDefault="00C50F13" w:rsidP="00CD0C90">
      <w:pPr>
        <w:numPr>
          <w:ilvl w:val="0"/>
          <w:numId w:val="16"/>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Gestión de subsidios: Se cuestionó la sostenibilidad de los subsidios y la falta de claridad en su aplicación. </w:t>
      </w:r>
    </w:p>
    <w:p w14:paraId="54A156C8" w14:textId="77777777" w:rsidR="00C50F13" w:rsidRPr="00CD0C90" w:rsidRDefault="00C50F13" w:rsidP="00CD0C90">
      <w:pPr>
        <w:numPr>
          <w:ilvl w:val="0"/>
          <w:numId w:val="17"/>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Planeación energética: Legisladores reclamaron una estrategia más clara para diversificar la matriz energética y reducir dependencia de fuentes costosas. </w:t>
      </w:r>
    </w:p>
    <w:p w14:paraId="4C8B222E" w14:textId="77777777" w:rsidR="00C50F13" w:rsidRPr="00CD0C90" w:rsidRDefault="00C50F13" w:rsidP="00CD0C90">
      <w:pPr>
        <w:numPr>
          <w:ilvl w:val="0"/>
          <w:numId w:val="18"/>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Visión de corto vs largo plazo: El Congreso exige soluciones inmediatas (reducción de tarifas), mientras el Ministerio plantea estrategias de largo plazo (transición energética). </w:t>
      </w:r>
    </w:p>
    <w:p w14:paraId="10AB0B4A" w14:textId="77777777" w:rsidR="00C50F13" w:rsidRPr="00CD0C90" w:rsidRDefault="00C50F13" w:rsidP="00CD0C90">
      <w:pPr>
        <w:numPr>
          <w:ilvl w:val="0"/>
          <w:numId w:val="19"/>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Desconfianza política: Los congresistas cuestionan la transparencia en la planeación y ejecución de proyectos energéticos. </w:t>
      </w:r>
    </w:p>
    <w:p w14:paraId="0CDCE1CA" w14:textId="77777777" w:rsidR="00C50F13" w:rsidRPr="00CD0C90" w:rsidRDefault="00C50F13" w:rsidP="00CD0C90">
      <w:pPr>
        <w:numPr>
          <w:ilvl w:val="0"/>
          <w:numId w:val="20"/>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lastRenderedPageBreak/>
        <w:t>Fragmentación regional: El Congreso representa intereses regionales diversos, lo que dificulta consensos nacionales. </w:t>
      </w:r>
    </w:p>
    <w:p w14:paraId="10CEB5F0"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b/>
          <w:bCs/>
          <w:lang w:val="es-ES"/>
        </w:rPr>
        <w:t>Estrategia del MME:</w:t>
      </w:r>
      <w:r w:rsidRPr="00CD0C90">
        <w:rPr>
          <w:rFonts w:asciiTheme="majorHAnsi" w:hAnsiTheme="majorHAnsi" w:cstheme="majorHAnsi"/>
          <w:lang w:val="es-ES"/>
        </w:rPr>
        <w:t> </w:t>
      </w:r>
    </w:p>
    <w:p w14:paraId="65266A76" w14:textId="77777777" w:rsidR="00C50F13" w:rsidRPr="00CD0C90" w:rsidRDefault="00C50F13" w:rsidP="00CD0C90">
      <w:pPr>
        <w:numPr>
          <w:ilvl w:val="0"/>
          <w:numId w:val="21"/>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Justificación técnica: El Ministro explicó que los incrementos responden a factores como la inflación, costos de generación y transporte, y ajustes regulatorios. </w:t>
      </w:r>
    </w:p>
    <w:p w14:paraId="0DCF2C81" w14:textId="77777777" w:rsidR="00C50F13" w:rsidRPr="00CD0C90" w:rsidRDefault="00C50F13" w:rsidP="00CD0C90">
      <w:pPr>
        <w:numPr>
          <w:ilvl w:val="0"/>
          <w:numId w:val="22"/>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Compromiso con la transición energética: Se resaltó la necesidad de avanzar hacia energías renovables, aunque reconoció que la transición implica costos iniciales. </w:t>
      </w:r>
    </w:p>
    <w:p w14:paraId="5FEAF919" w14:textId="77777777" w:rsidR="00C50F13" w:rsidRPr="00CD0C90" w:rsidRDefault="00C50F13" w:rsidP="00CD0C90">
      <w:pPr>
        <w:numPr>
          <w:ilvl w:val="0"/>
          <w:numId w:val="23"/>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Diálogo con el Congreso: El Ministerio manifestó disposición a trabajar con el legislativo en reformas regulatorias y esquemas de alivio tarifario, no obstante, el debate no solo trató de tarifas, sino que expuso la falta de articulación entre Congreso y Ministerio para avanzar en la transición energética. </w:t>
      </w:r>
    </w:p>
    <w:p w14:paraId="546322AD"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En el marco del debate de control político sobre el Ministerio de Minas y Energía, los retos identificados se concentran en la necesidad de garantizar la equidad tarifaria, asegurar la sostenibilidad fiscal de los subsidios, fortalecer la transparencia regulatoria y acelerar la transición energética sin comprometer la estabilidad del sistema eléctrico. </w:t>
      </w:r>
    </w:p>
    <w:p w14:paraId="7A362494"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Mientras el Ministerio presenta una visión técnica y estratégica de largo plazo, el Congreso realiza un debate más político, dejando fuera de sus consideraciones muchos de los argumentos técnicos, lo que genera tensiones que retrasan la implementación de políticas estructurales. Para superar estas limitaciones y avanzar hacia una matriz energética más limpia, justa y competitiva, sería deseable crear espacios de diálogo permanentes con las comisiones asociadas a minas y energía en el Congreso (es decir, comisión V y VI de Cámara y Senado), en donde se establezcan mecanismos de comunicación claros y periódicos sobre proyectos y tarifas que ayuden a fortalecer la confianza política entre las dos instituciones. </w:t>
      </w:r>
    </w:p>
    <w:p w14:paraId="0A264AE3" w14:textId="1544FC02" w:rsidR="00C50F13" w:rsidRPr="00CD0C90" w:rsidRDefault="00C50F13" w:rsidP="00CD0C90">
      <w:pPr>
        <w:pStyle w:val="Ttulo4"/>
        <w:rPr>
          <w:rFonts w:asciiTheme="majorHAnsi" w:hAnsiTheme="majorHAnsi" w:cstheme="majorHAnsi"/>
          <w:sz w:val="22"/>
          <w:szCs w:val="22"/>
          <w:lang w:val="es-ES"/>
        </w:rPr>
      </w:pPr>
      <w:r w:rsidRPr="00CD0C90">
        <w:rPr>
          <w:rFonts w:asciiTheme="majorHAnsi" w:hAnsiTheme="majorHAnsi" w:cstheme="majorHAnsi"/>
          <w:sz w:val="22"/>
          <w:szCs w:val="22"/>
          <w:lang w:val="es-ES"/>
        </w:rPr>
        <w:t>III) Proposición 013 de 2024  </w:t>
      </w:r>
    </w:p>
    <w:p w14:paraId="7A13A986"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La Proposición fue presentada por el Representante Ferney Silva Idrobo en el marco de una sesión descentralizada (debate de control político) sobre dos ejes: (i) la Transición Energética Justa (TEJ) y sus impactos en tarifas, generación renovable e inclusión social; y (ii) las medidas de abastecimiento de gas ante el déficit proyectado. El debate buscaba fiscalizar las acciones del Gobierno Nacional, específicamente del MME, en materias críticas para la economía y la ciudadanía. </w:t>
      </w:r>
    </w:p>
    <w:p w14:paraId="5F5B6952"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En respuesta a las preguntas formuladas en el debate de control político, el MME resaltó las siguientes acciones: </w:t>
      </w:r>
    </w:p>
    <w:p w14:paraId="50E46181" w14:textId="77777777" w:rsidR="00C50F13" w:rsidRPr="00CD0C90" w:rsidRDefault="00C50F13" w:rsidP="00CD0C90">
      <w:pPr>
        <w:numPr>
          <w:ilvl w:val="0"/>
          <w:numId w:val="24"/>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lastRenderedPageBreak/>
        <w:t>El “Pacto por la Justicia Tarifaria”: Acuerdos con gremios y empresas para expedir regulación de corto plazo (Resoluciones CREG 101 027, 101 029, 101 031 de 2022) que ajustaron indexadores (IPP e IPC) y flexibilizaron restricciones operativas. </w:t>
      </w:r>
    </w:p>
    <w:p w14:paraId="647D6F39" w14:textId="77777777" w:rsidR="00C50F13" w:rsidRPr="00CD0C90" w:rsidRDefault="00C50F13" w:rsidP="00CD0C90">
      <w:pPr>
        <w:numPr>
          <w:ilvl w:val="0"/>
          <w:numId w:val="25"/>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Renegociación de contratos: Se renegociaron 857 contratos (53% para mercado regulado), según Circular CREG 097 de 2022. </w:t>
      </w:r>
    </w:p>
    <w:p w14:paraId="3B20C3FC" w14:textId="77777777" w:rsidR="00C50F13" w:rsidRPr="00CD0C90" w:rsidRDefault="00C50F13" w:rsidP="00CD0C90">
      <w:pPr>
        <w:numPr>
          <w:ilvl w:val="0"/>
          <w:numId w:val="26"/>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Proyecto de Decreto de eficiencia tarifaria: Establece directrices para la CREG sobre revisión de fórmulas tarifarias, unificación de tarifas de transporte y separación de cobros en la factura. </w:t>
      </w:r>
    </w:p>
    <w:p w14:paraId="730B720F" w14:textId="77777777" w:rsidR="00C50F13" w:rsidRPr="00CD0C90" w:rsidRDefault="00C50F13" w:rsidP="00CD0C90">
      <w:pPr>
        <w:numPr>
          <w:ilvl w:val="0"/>
          <w:numId w:val="27"/>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Mesas de trabajo con agentes del mercado: Se listan 14 mesas realizadas entre abril y junio de 2024 con actores como ACOLGEN, AFINIA, AIR-E, EPM, ANDEG, ENEL, ISAGEN, etc. </w:t>
      </w:r>
    </w:p>
    <w:p w14:paraId="1923AFA6" w14:textId="77777777" w:rsidR="00C50F13" w:rsidRPr="00CD0C90" w:rsidRDefault="00C50F13" w:rsidP="00CD0C90">
      <w:pPr>
        <w:numPr>
          <w:ilvl w:val="0"/>
          <w:numId w:val="28"/>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Acuerdo para asumir la deuda de opción tarifaria: El Estado propuso asumir los saldos de la opción tarifaria de estratos 1, 2 y 3 (estimados en 2,7 billones de pesos), mediante líneas de crédito de FINDETER (Decretos 1637/2023 y 268/2024) y un proyecto de ley (presentado el 20 de julio de 2024). </w:t>
      </w:r>
    </w:p>
    <w:p w14:paraId="09163313" w14:textId="77777777" w:rsidR="00C50F13" w:rsidRPr="00CD0C90" w:rsidRDefault="00C50F13" w:rsidP="00CD0C90">
      <w:pPr>
        <w:numPr>
          <w:ilvl w:val="0"/>
          <w:numId w:val="29"/>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Resolución MME 40225 de 2024: Da lineamientos a la CREG para titularización de la deuda, renegociación de contratos y energía a menor precio para áreas especiales. </w:t>
      </w:r>
    </w:p>
    <w:p w14:paraId="33B2031F" w14:textId="77777777" w:rsidR="00C50F13" w:rsidRPr="00CD0C90" w:rsidRDefault="00C50F13" w:rsidP="00CD0C90">
      <w:pPr>
        <w:numPr>
          <w:ilvl w:val="0"/>
          <w:numId w:val="30"/>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Tope al precio de bolsa (Resolución CREG 101 066 de 2024): Fija dos precios de escasez, con un tope máximo de $359 COP/kWh para fuentes renovables, hídricas y de carbón. </w:t>
      </w:r>
    </w:p>
    <w:p w14:paraId="4F2E7DF9" w14:textId="77777777" w:rsidR="00C50F13" w:rsidRPr="00CD0C90" w:rsidRDefault="00C50F13" w:rsidP="00CD0C90">
      <w:pPr>
        <w:numPr>
          <w:ilvl w:val="0"/>
          <w:numId w:val="31"/>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Desactivación del estatuto de confiabilidad (Resolución CREG 026 de 2014): Al mejorar los niveles de embalses, se evitó la activación de precios de escasez más altos. </w:t>
      </w:r>
    </w:p>
    <w:p w14:paraId="45A39EC3" w14:textId="77777777" w:rsidR="00C50F13" w:rsidRPr="00CD0C90" w:rsidRDefault="00C50F13" w:rsidP="00CD0C90">
      <w:pPr>
        <w:numPr>
          <w:ilvl w:val="0"/>
          <w:numId w:val="32"/>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Separación de cobros en factura (proyecto de decreto): Para que los usuarios puedan ver discriminadamente los conceptos. </w:t>
      </w:r>
    </w:p>
    <w:p w14:paraId="310E687F" w14:textId="77777777" w:rsidR="00C50F13" w:rsidRPr="00CD0C90" w:rsidRDefault="00C50F13" w:rsidP="00CD0C90">
      <w:pPr>
        <w:numPr>
          <w:ilvl w:val="0"/>
          <w:numId w:val="33"/>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Revisión de fórmula tarifaria para estratos 1 y 2 (Resolución CREG 705 007 en consulta): Para que las reducciones tarifarias se reflejen efectivamente en la factura y no solo disminuyan el subsidio. </w:t>
      </w:r>
    </w:p>
    <w:p w14:paraId="10CB98D2"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En su respuesta, el MME explicó la hoja de ruta clara para enfrentar el déficit de gas, diversificando fuentes (importación) y flexibilizando la regulación. No obstante, es importante coordinar una respuesta como sector por parte de la UPM, la ANH y en general, las entidades adscritas y vinculadas al MME, para garantizar la unidad de criterio frente al legislativo.  </w:t>
      </w:r>
    </w:p>
    <w:p w14:paraId="6DB26B1B" w14:textId="639C4CA6" w:rsidR="00C50F13" w:rsidRPr="00CD0C90" w:rsidRDefault="00C50F13" w:rsidP="00CD0C90">
      <w:pPr>
        <w:pStyle w:val="Ttulo4"/>
        <w:rPr>
          <w:rFonts w:asciiTheme="majorHAnsi" w:hAnsiTheme="majorHAnsi" w:cstheme="majorHAnsi"/>
          <w:sz w:val="22"/>
          <w:szCs w:val="22"/>
          <w:lang w:val="es-ES"/>
        </w:rPr>
      </w:pPr>
      <w:r w:rsidRPr="00CD0C90">
        <w:rPr>
          <w:rFonts w:asciiTheme="majorHAnsi" w:hAnsiTheme="majorHAnsi" w:cstheme="majorHAnsi"/>
          <w:sz w:val="22"/>
          <w:szCs w:val="22"/>
          <w:lang w:val="es-ES"/>
        </w:rPr>
        <w:lastRenderedPageBreak/>
        <w:t>IV) Proposición 014 de 2025  </w:t>
      </w:r>
    </w:p>
    <w:p w14:paraId="70C3DB33"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La Proposición 014 de 2025 buscó conocer y evaluar la distribución del presupuesto del sector minero-energético para la vigencia fiscal 2026, con énfasis en los criterios de asignación, los recursos destinados a la Transición Energética Justa (TEJ) y las partidas para la protección de comunidades afectadas por proyectos extractivos.</w:t>
      </w:r>
    </w:p>
    <w:p w14:paraId="24BD1F0D"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El Ministerio identifica tres proyectos de inversión para 2026 destinados a la TEJ:</w:t>
      </w:r>
    </w:p>
    <w:p w14:paraId="065D0261" w14:textId="77777777" w:rsidR="00C50F13" w:rsidRPr="00CD0C90" w:rsidRDefault="00C50F13" w:rsidP="00CD0C90">
      <w:pPr>
        <w:pStyle w:val="Prrafodelista"/>
        <w:numPr>
          <w:ilvl w:val="0"/>
          <w:numId w:val="58"/>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Implementación de soluciones de generación fotovoltaica para la reducción del costo de servicio eléctrico en estratos 1, 2 y 3 del SIN (Programa Colombia Solar): $372.133.529.088.</w:t>
      </w:r>
    </w:p>
    <w:p w14:paraId="3930EFBF" w14:textId="77777777" w:rsidR="00C50F13" w:rsidRPr="00CD0C90" w:rsidRDefault="00C50F13" w:rsidP="00CD0C90">
      <w:pPr>
        <w:pStyle w:val="Prrafodelista"/>
        <w:numPr>
          <w:ilvl w:val="0"/>
          <w:numId w:val="58"/>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Desarrollo de estrategias de implementación en la conformación y financiación de comunidades energéticas con FNCER: $300.000.000.000.</w:t>
      </w:r>
    </w:p>
    <w:p w14:paraId="256A482E" w14:textId="77777777" w:rsidR="00C50F13" w:rsidRPr="00CD0C90" w:rsidRDefault="00C50F13" w:rsidP="00CD0C90">
      <w:pPr>
        <w:pStyle w:val="Prrafodelista"/>
        <w:numPr>
          <w:ilvl w:val="0"/>
          <w:numId w:val="58"/>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Ampliación de la cobertura del servicio de energía eléctrica en Zonas No Interconectadas (ZNI): $146.666.076.186.</w:t>
      </w:r>
    </w:p>
    <w:p w14:paraId="795FE5B9"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Total de recursos identificados explícitamente para TEJ en 2026:  818.799.605.274</w:t>
      </w:r>
    </w:p>
    <w:p w14:paraId="6EFCE251"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Sobre la ejecución efectiva, el Ministerio informó que se cuenta con “plan de trabajo y cronograma definidos”, “programación clara de metas y productos”, “asignación de responsables” y “seguimiento permanente de hitos y avance”.</w:t>
      </w:r>
    </w:p>
    <w:p w14:paraId="76831DDB"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La proposición no fue citada a debate de control político.</w:t>
      </w:r>
    </w:p>
    <w:p w14:paraId="1F1D5212" w14:textId="6905BA81" w:rsidR="00C50F13" w:rsidRPr="00CD0C90" w:rsidRDefault="00C50F13" w:rsidP="00CD0C90">
      <w:pPr>
        <w:pStyle w:val="Ttulo4"/>
        <w:rPr>
          <w:rFonts w:asciiTheme="majorHAnsi" w:hAnsiTheme="majorHAnsi" w:cstheme="majorHAnsi"/>
          <w:sz w:val="22"/>
          <w:szCs w:val="22"/>
          <w:lang w:val="es-ES"/>
        </w:rPr>
      </w:pPr>
      <w:r w:rsidRPr="00CD0C90">
        <w:rPr>
          <w:rFonts w:asciiTheme="majorHAnsi" w:hAnsiTheme="majorHAnsi" w:cstheme="majorHAnsi"/>
          <w:sz w:val="22"/>
          <w:szCs w:val="22"/>
          <w:lang w:val="es-ES"/>
        </w:rPr>
        <w:t>V) Proposición 023 de 2025  </w:t>
      </w:r>
    </w:p>
    <w:p w14:paraId="42E24B97"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El debate busca evaluar los avances de la política pública de Transición Energética Justa (TEJ) en el período 2022-2025, con un enfoque territorial obligatorio en el Distrito Especial de Barrancabermeja (Santander), principal polo de refinación de petróleo del país y un territorio que enfrenta los impactos sociales y económicos del declive de la industria de hidrocarburos.</w:t>
      </w:r>
    </w:p>
    <w:p w14:paraId="7E7AAB88"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La proposición contiene cinco preguntas estructuradas que abarcan:</w:t>
      </w:r>
    </w:p>
    <w:p w14:paraId="43136BC7" w14:textId="77777777" w:rsidR="00C50F13" w:rsidRPr="00CD0C90" w:rsidRDefault="00C50F13" w:rsidP="00CD0C90">
      <w:pPr>
        <w:pStyle w:val="Prrafodelista"/>
        <w:numPr>
          <w:ilvl w:val="0"/>
          <w:numId w:val="59"/>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Grado de cumplimiento de la Hoja de Ruta TEJ, con metas cuantitativas y cualitativas, y su reflejo en Santander y Barrancabermeja.</w:t>
      </w:r>
    </w:p>
    <w:p w14:paraId="5B1A965F" w14:textId="77777777" w:rsidR="00C50F13" w:rsidRPr="00CD0C90" w:rsidRDefault="00C50F13" w:rsidP="00CD0C90">
      <w:pPr>
        <w:pStyle w:val="Prrafodelista"/>
        <w:numPr>
          <w:ilvl w:val="0"/>
          <w:numId w:val="59"/>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Ejecución de los fondos e incentivos de la Ley 2099 de 2021 (incluyendo FONENERGIA, FENOGE, FAER), con especial énfasis en su operatividad y recursos captados.</w:t>
      </w:r>
    </w:p>
    <w:p w14:paraId="260795A0" w14:textId="77777777" w:rsidR="00C50F13" w:rsidRPr="00CD0C90" w:rsidRDefault="00C50F13" w:rsidP="00CD0C90">
      <w:pPr>
        <w:pStyle w:val="Prrafodelista"/>
        <w:numPr>
          <w:ilvl w:val="0"/>
          <w:numId w:val="59"/>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Tres proyectos emblemáticos financiados por la Ley 2099, señalando ubicación, inversión, estado y si Santander o Barrancabermeja han sido beneficiarios.</w:t>
      </w:r>
    </w:p>
    <w:p w14:paraId="0C03F02C" w14:textId="77777777" w:rsidR="00C50F13" w:rsidRPr="00CD0C90" w:rsidRDefault="00C50F13" w:rsidP="00CD0C90">
      <w:pPr>
        <w:pStyle w:val="Prrafodelista"/>
        <w:numPr>
          <w:ilvl w:val="0"/>
          <w:numId w:val="59"/>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Acciones específicas del Ministerio en Barrancabermeja (2022-2025): proyectos de energía limpia, acompañamiento técnico, reconversión laboral y capacitación.</w:t>
      </w:r>
    </w:p>
    <w:p w14:paraId="0E2181AF" w14:textId="77777777" w:rsidR="00C50F13" w:rsidRPr="00CD0C90" w:rsidRDefault="00C50F13" w:rsidP="00CD0C90">
      <w:pPr>
        <w:pStyle w:val="Prrafodelista"/>
        <w:numPr>
          <w:ilvl w:val="0"/>
          <w:numId w:val="59"/>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lastRenderedPageBreak/>
        <w:t>Medidas para atender las afectaciones sociales y económicas en el corregimiento El Centro (Barrancabermeja), derivadas de la desinversión en el campo La Cira-Infantas, que ha generado desempleo colectivo.</w:t>
      </w:r>
    </w:p>
    <w:p w14:paraId="3678C4CE"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El Ministerio estructura su respuesta en varios ejes estratégicos de la TEJ:</w:t>
      </w:r>
    </w:p>
    <w:p w14:paraId="5222EF72" w14:textId="77777777" w:rsidR="00C50F13" w:rsidRPr="00CD0C90" w:rsidRDefault="00C50F13" w:rsidP="00CD0C90">
      <w:pPr>
        <w:pStyle w:val="Prrafodelista"/>
        <w:numPr>
          <w:ilvl w:val="0"/>
          <w:numId w:val="60"/>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Reindustrialización: Destaca la creación del Centro de Aprendizaje Minero (CAM) (plataforma web con más de 120 ofertas formativas), la Red de Centros de Desarrollo Minero (seis centros construidos con una inversión superior a los $50.000 millones en municipios como El Bagre, Puerto Berrío, Marmato, San Miguel, Santa Rosa del Sur y Guachetá), y los Consultorios Técnico-Jurídicos implementados en convenio con universidades (Universidad Nacional, UPTC, Universidad Francisco de Paula Santander), que atendieron a cientos de mineros en Antioquia, Boyacá, Norte de Santander, etc.</w:t>
      </w:r>
    </w:p>
    <w:p w14:paraId="2148D5BD" w14:textId="77777777" w:rsidR="00C50F13" w:rsidRPr="00CD0C90" w:rsidRDefault="00C50F13" w:rsidP="00CD0C90">
      <w:pPr>
        <w:pStyle w:val="Prrafodelista"/>
        <w:pBdr>
          <w:top w:val="nil"/>
          <w:left w:val="nil"/>
          <w:bottom w:val="nil"/>
          <w:right w:val="nil"/>
          <w:between w:val="nil"/>
        </w:pBdr>
        <w:spacing w:before="240" w:after="0"/>
        <w:jc w:val="both"/>
        <w:rPr>
          <w:rFonts w:asciiTheme="majorHAnsi" w:hAnsiTheme="majorHAnsi" w:cstheme="majorHAnsi"/>
          <w:lang w:val="es-ES"/>
        </w:rPr>
      </w:pPr>
    </w:p>
    <w:p w14:paraId="023C67AA" w14:textId="77777777" w:rsidR="00C50F13" w:rsidRPr="00CD0C90" w:rsidRDefault="00C50F13" w:rsidP="00CD0C90">
      <w:pPr>
        <w:pStyle w:val="Prrafodelista"/>
        <w:numPr>
          <w:ilvl w:val="0"/>
          <w:numId w:val="60"/>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Diversificación productiva: Explica la implementación del artículo 231 de la Ley 2294 de 2023 (Distritos Mineros Especiales para la Diversificación Productiva) y el Decreto 0977 de 2024 que lo reglamenta. Presenta una tabla detallada de 16 distritos mineros proyectados en departamentos como Antioquia, Nariño, Cauca, Chocó, Valle, Caldas, Córdoba, Cesar, La Guajira, Boyacá, Cundinamarca, Norte de Santander y Huila, clasificados por enfoque (formalización o descarbonización/reindustrialización). Menciona que el Distrito del Bajo Cauca Antioqueño ya fue delimitado mediante Resolución 40436 de 2024.</w:t>
      </w:r>
    </w:p>
    <w:p w14:paraId="62619A7B" w14:textId="77777777" w:rsidR="00C50F13" w:rsidRPr="00CD0C90" w:rsidRDefault="00C50F13" w:rsidP="00CD0C90">
      <w:pPr>
        <w:pStyle w:val="Prrafodelista"/>
        <w:pBdr>
          <w:top w:val="nil"/>
          <w:left w:val="nil"/>
          <w:bottom w:val="nil"/>
          <w:right w:val="nil"/>
          <w:between w:val="nil"/>
        </w:pBdr>
        <w:spacing w:before="240" w:after="0"/>
        <w:jc w:val="both"/>
        <w:rPr>
          <w:rFonts w:asciiTheme="majorHAnsi" w:hAnsiTheme="majorHAnsi" w:cstheme="majorHAnsi"/>
          <w:lang w:val="es-ES"/>
        </w:rPr>
      </w:pPr>
    </w:p>
    <w:p w14:paraId="55704397" w14:textId="77777777" w:rsidR="00C50F13" w:rsidRPr="00CD0C90" w:rsidRDefault="00C50F13" w:rsidP="00CD0C90">
      <w:pPr>
        <w:pStyle w:val="Prrafodelista"/>
        <w:numPr>
          <w:ilvl w:val="0"/>
          <w:numId w:val="60"/>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Formalización minera: Informa sobre el Plan Único de Legalización y Formalización Minera (abril de 2023), en desarrollo de la Ley 2250 de 2022.</w:t>
      </w:r>
    </w:p>
    <w:p w14:paraId="4EDDDFB5" w14:textId="77777777" w:rsidR="00C50F13" w:rsidRPr="00CD0C90" w:rsidRDefault="00C50F13" w:rsidP="00CD0C90">
      <w:pPr>
        <w:pStyle w:val="Prrafodelista"/>
        <w:pBdr>
          <w:top w:val="nil"/>
          <w:left w:val="nil"/>
          <w:bottom w:val="nil"/>
          <w:right w:val="nil"/>
          <w:between w:val="nil"/>
        </w:pBdr>
        <w:spacing w:before="240" w:after="0"/>
        <w:jc w:val="both"/>
        <w:rPr>
          <w:rFonts w:asciiTheme="majorHAnsi" w:hAnsiTheme="majorHAnsi" w:cstheme="majorHAnsi"/>
          <w:lang w:val="es-ES"/>
        </w:rPr>
      </w:pPr>
    </w:p>
    <w:p w14:paraId="30DBF327" w14:textId="77777777" w:rsidR="00C50F13" w:rsidRPr="00CD0C90" w:rsidRDefault="00C50F13" w:rsidP="00CD0C90">
      <w:pPr>
        <w:pStyle w:val="Prrafodelista"/>
        <w:numPr>
          <w:ilvl w:val="0"/>
          <w:numId w:val="60"/>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Expansión de energías renovables (FNCER): Presenta la meta del Plan 6GW (6.000 MW de capacidad renovable entre 2022 y , superando la meta del PND). Destaca que a la fecha se han puesto en operación comercial más de 1.800 MW de FNCER (un incremento de más de 10 veces la capacidad existente antes de 2022). Incluye una gráfica de evolución de la capacidad FNCER 2018-2025 y un plan de acción detallado (priorización de proyectos, mesas mensuales de seguimiento, reuniones con empresas, Mesas de Alto Nivel). Anexa acciones proyectadas para garantizar la incorporación efectiva de 6GW.</w:t>
      </w:r>
    </w:p>
    <w:p w14:paraId="010BF531" w14:textId="77777777" w:rsidR="00C50F13" w:rsidRPr="00CD0C90" w:rsidRDefault="00C50F13" w:rsidP="00CD0C90">
      <w:pPr>
        <w:pStyle w:val="Prrafodelista"/>
        <w:pBdr>
          <w:top w:val="nil"/>
          <w:left w:val="nil"/>
          <w:bottom w:val="nil"/>
          <w:right w:val="nil"/>
          <w:between w:val="nil"/>
        </w:pBdr>
        <w:spacing w:before="240" w:after="0"/>
        <w:jc w:val="both"/>
        <w:rPr>
          <w:rFonts w:asciiTheme="majorHAnsi" w:hAnsiTheme="majorHAnsi" w:cstheme="majorHAnsi"/>
          <w:lang w:val="es-ES"/>
        </w:rPr>
      </w:pPr>
    </w:p>
    <w:p w14:paraId="42C9F9FF" w14:textId="77777777" w:rsidR="00C50F13" w:rsidRPr="00CD0C90" w:rsidRDefault="00C50F13" w:rsidP="00CD0C90">
      <w:pPr>
        <w:pStyle w:val="Prrafodelista"/>
        <w:numPr>
          <w:ilvl w:val="0"/>
          <w:numId w:val="60"/>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Municipios y Territorios Energéticos: Señala que 644 municipios (427 en total) se postularon, que se han realizado 135 visitas técnicas y que se cuenta con una línea de financiación con Findeter.</w:t>
      </w:r>
    </w:p>
    <w:p w14:paraId="59887105" w14:textId="77777777" w:rsidR="00C50F13" w:rsidRPr="00CD0C90" w:rsidRDefault="00C50F13" w:rsidP="00CD0C90">
      <w:pPr>
        <w:pStyle w:val="Prrafodelista"/>
        <w:pBdr>
          <w:top w:val="nil"/>
          <w:left w:val="nil"/>
          <w:bottom w:val="nil"/>
          <w:right w:val="nil"/>
          <w:between w:val="nil"/>
        </w:pBdr>
        <w:spacing w:before="240" w:after="0"/>
        <w:jc w:val="both"/>
        <w:rPr>
          <w:rFonts w:asciiTheme="majorHAnsi" w:hAnsiTheme="majorHAnsi" w:cstheme="majorHAnsi"/>
          <w:lang w:val="es-ES"/>
        </w:rPr>
      </w:pPr>
    </w:p>
    <w:p w14:paraId="6264B9C3" w14:textId="77777777" w:rsidR="00C50F13" w:rsidRPr="00CD0C90" w:rsidRDefault="00C50F13" w:rsidP="00CD0C90">
      <w:pPr>
        <w:pStyle w:val="Prrafodelista"/>
        <w:numPr>
          <w:ilvl w:val="0"/>
          <w:numId w:val="60"/>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Nuevos energéticos (Geotermia, Bioenergía, Hidrógeno):</w:t>
      </w:r>
    </w:p>
    <w:p w14:paraId="4D374BB9" w14:textId="77777777" w:rsidR="00C50F13" w:rsidRPr="00CD0C90" w:rsidRDefault="00C50F13" w:rsidP="00CD0C90">
      <w:pPr>
        <w:pStyle w:val="Prrafodelista"/>
        <w:numPr>
          <w:ilvl w:val="1"/>
          <w:numId w:val="61"/>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Geotermia: Menciona el concepto de la ANLA (000021-7), la estructuración de un convenio con SGC, ANH y Bancóldex, la cooperación técnica del BID con US$9,53 millones, </w:t>
      </w:r>
      <w:r w:rsidRPr="00CD0C90">
        <w:rPr>
          <w:rFonts w:asciiTheme="majorHAnsi" w:hAnsiTheme="majorHAnsi" w:cstheme="majorHAnsi"/>
          <w:lang w:val="es-ES"/>
        </w:rPr>
        <w:lastRenderedPageBreak/>
        <w:t>la modificación de la Resolución 40302 de 2022, y el otorgamiento de dos permisos de exploración (Nereidas, Azufral) y tres de explotación por coproducción (Campo Rumba, Apiay, Cubarral). Destaca la implementación de un ambiente de formación en geotermia de baja entalpía en el Centro de la Industria de Barrancabermeja (SENA).</w:t>
      </w:r>
    </w:p>
    <w:p w14:paraId="5D60E8E6" w14:textId="77777777" w:rsidR="00C50F13" w:rsidRPr="00CD0C90" w:rsidRDefault="00C50F13" w:rsidP="00CD0C90">
      <w:pPr>
        <w:pStyle w:val="Prrafodelista"/>
        <w:pBdr>
          <w:top w:val="nil"/>
          <w:left w:val="nil"/>
          <w:bottom w:val="nil"/>
          <w:right w:val="nil"/>
          <w:between w:val="nil"/>
        </w:pBdr>
        <w:spacing w:before="240" w:after="0"/>
        <w:ind w:left="1440"/>
        <w:jc w:val="both"/>
        <w:rPr>
          <w:rFonts w:asciiTheme="majorHAnsi" w:hAnsiTheme="majorHAnsi" w:cstheme="majorHAnsi"/>
          <w:lang w:val="es-ES"/>
        </w:rPr>
      </w:pPr>
    </w:p>
    <w:p w14:paraId="69D3A096" w14:textId="77777777" w:rsidR="00C50F13" w:rsidRPr="00CD0C90" w:rsidRDefault="00C50F13" w:rsidP="00CD0C90">
      <w:pPr>
        <w:pStyle w:val="Prrafodelista"/>
        <w:numPr>
          <w:ilvl w:val="1"/>
          <w:numId w:val="61"/>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Bioenergía: Informa que entre 2022 y 2025 han entrado en operación 8 proyectos de generación eléctrica con biogás (45 MW), y que existe una hoja de ruta de SAF (combustibles sostenibles de aviación).</w:t>
      </w:r>
    </w:p>
    <w:p w14:paraId="76C47CF2" w14:textId="77777777" w:rsidR="00C50F13" w:rsidRPr="00CD0C90" w:rsidRDefault="00C50F13" w:rsidP="00CD0C90">
      <w:pPr>
        <w:pStyle w:val="Prrafodelista"/>
        <w:rPr>
          <w:rFonts w:asciiTheme="majorHAnsi" w:hAnsiTheme="majorHAnsi" w:cstheme="majorHAnsi"/>
          <w:lang w:val="es-ES"/>
        </w:rPr>
      </w:pPr>
    </w:p>
    <w:p w14:paraId="6AFA43AD" w14:textId="77777777" w:rsidR="00C50F13" w:rsidRPr="00CD0C90" w:rsidRDefault="00C50F13" w:rsidP="00CD0C90">
      <w:pPr>
        <w:pStyle w:val="Prrafodelista"/>
        <w:numPr>
          <w:ilvl w:val="1"/>
          <w:numId w:val="61"/>
        </w:num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Hidrógeno: Desglosa un conjunto muy amplio de acciones: Decreto 1476/2022, Decreto 2235/2023 (hidrógeno blanco), comité 259 de ICONTEC (36 normas técnicas adoptadas), hoja de ruta SAF (2025), Resolución 40165/2024 (sustitución de leña), Decreto 1403/2024 (autogeneración), Resolución 40379/2025 (reglas para autogeneradores), Decreto 1597/2024 (derivados de hidrógeno), acompañamiento a proyectos de ley, estructuración de un CONPES para hidrógeno, estudios de infraestructura con IDOM-Banco Mundial, estrategia “Puertos Verdes”, cooperación con GIZ, proyectos emblemáticos (“Protium” en Sabaneta y “Coral” en Cartagena con 5 MW de electrólisis), participación en LAC H2 SUMMIT, “Plataforma País” y “Ecosistema de Hidrógeno de Colombia (EcoH2)”.</w:t>
      </w:r>
    </w:p>
    <w:p w14:paraId="1E03361E"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El Ministerio informó que, aunque la Ley 2099 de 2021 creó FONENERGIA inicialmente como un patrimonio autónomo (fiducia), el artículo 247 de la Ley 2294 de 2023 (PND) cambió su naturaleza jurídica a un fondo cuenta administrado por el MME. Sin embargo, a la fecha de la respuesta, el Ministerio de Minas y Energía se encuentra a la espera de la aprobación del decreto reglamentario por parte del Ministerio de Hacienda y Crédito Público, por lo que FONENERGIA aún no ha iniciado operaciones y no ha captado ni ejecutado recursos.</w:t>
      </w:r>
    </w:p>
    <w:p w14:paraId="7C3FD085"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La proposición no fue llevada a debate de control político.</w:t>
      </w:r>
    </w:p>
    <w:p w14:paraId="372F844A" w14:textId="0995DA3E" w:rsidR="00C50F13" w:rsidRPr="00CD0C90" w:rsidRDefault="00C50F13" w:rsidP="00CD0C90">
      <w:pPr>
        <w:pStyle w:val="Ttulo4"/>
        <w:rPr>
          <w:rFonts w:asciiTheme="majorHAnsi" w:hAnsiTheme="majorHAnsi" w:cstheme="majorHAnsi"/>
          <w:sz w:val="22"/>
          <w:szCs w:val="22"/>
          <w:lang w:val="es-ES"/>
        </w:rPr>
      </w:pPr>
      <w:r w:rsidRPr="00CD0C90">
        <w:rPr>
          <w:rFonts w:asciiTheme="majorHAnsi" w:hAnsiTheme="majorHAnsi" w:cstheme="majorHAnsi"/>
          <w:sz w:val="22"/>
          <w:szCs w:val="22"/>
          <w:lang w:val="es-ES"/>
        </w:rPr>
        <w:t>VI) Proposición 033 de 2025  </w:t>
      </w:r>
    </w:p>
    <w:p w14:paraId="34F2DC08"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color w:val="0F1115"/>
          <w:shd w:val="clear" w:color="auto" w:fill="FFFFFF"/>
        </w:rPr>
      </w:pPr>
      <w:r w:rsidRPr="00CD0C90">
        <w:rPr>
          <w:rFonts w:asciiTheme="majorHAnsi" w:hAnsiTheme="majorHAnsi" w:cstheme="majorHAnsi"/>
          <w:color w:val="0F1115"/>
          <w:shd w:val="clear" w:color="auto" w:fill="FFFFFF"/>
        </w:rPr>
        <w:t>El contenido de las casi 100 preguntas revela las preocupaciones recurrentes del Congreso: plazos de reglamentación, desembolsos presupuestales, congestión de trámites en la ANM, conflictos socioambientales no resueltos (Marmato, Santurbán, occidente de Boyacá) y, de fondo, la tensión entre la transición energética (que implica una reducción progresiva de la minería de carbón) y la protección de los medios de vida de mineros tradicionales.</w:t>
      </w:r>
    </w:p>
    <w:p w14:paraId="63EFEDE1"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El MME detalla los cronogramas para reglamentar artículos clave de la Ley 2250 de 2022 (economía circular, fondo de fomento minero, reconversión de actividades mineras). El hecho de que varios proyectos normativos estén en consulta pública o en revisión interna muestra un relacionamiento basado en la transparencia procedimental, pero no necesariamente en la co-construcción política. Por lo anterior, sería </w:t>
      </w:r>
      <w:r w:rsidRPr="00CD0C90">
        <w:rPr>
          <w:rFonts w:asciiTheme="majorHAnsi" w:hAnsiTheme="majorHAnsi" w:cstheme="majorHAnsi"/>
          <w:lang w:val="es-ES"/>
        </w:rPr>
        <w:lastRenderedPageBreak/>
        <w:t>deseable crear mesas técnicas permanentes con las comisiones de minas y energía del Congreso para discutir los proyectos normativos antes de su publicación oficial, anticipando objeciones y generando apropiación legislativa desde la fase temprana.</w:t>
      </w:r>
    </w:p>
    <w:p w14:paraId="0685BBD1"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color w:val="0F1115"/>
          <w:shd w:val="clear" w:color="auto" w:fill="FFFFFF"/>
        </w:rPr>
      </w:pPr>
      <w:r w:rsidRPr="00CD0C90">
        <w:rPr>
          <w:rFonts w:asciiTheme="majorHAnsi" w:hAnsiTheme="majorHAnsi" w:cstheme="majorHAnsi"/>
          <w:color w:val="0F1115"/>
          <w:shd w:val="clear" w:color="auto" w:fill="FFFFFF"/>
        </w:rPr>
        <w:t>Las preguntas sobre Marmato, el paro minero de Boyacá y Ubaté, y las actas de compromiso evidencian que el Congreso actúa como canal de las demandas regionales y, en ese sentido, la respuesta del MME incluye acuerdos suscritos (p.ej., “Acuerdo por la Transición Energética Justa y la dignidad de los pequeños mineros del carbón”) e información de encuentros territoriales, gestión que debe ser fortalecida por la entidad.</w:t>
      </w:r>
    </w:p>
    <w:p w14:paraId="5382E3B1"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 xml:space="preserve">Aunque el documento se centra en el sector minero, varios de sus ejes son transversales a la transición energética: reconversión laboral (artículo 20), cierre de minas, distritos mineros para la diversificación productiva y la tensión entre nuevos mercados (gas vs. carbón térmico). </w:t>
      </w:r>
    </w:p>
    <w:p w14:paraId="5F65E1EE" w14:textId="77777777" w:rsidR="00C50F13" w:rsidRPr="00CD0C90" w:rsidRDefault="00C50F13" w:rsidP="00CD0C90">
      <w:pPr>
        <w:pBdr>
          <w:top w:val="nil"/>
          <w:left w:val="nil"/>
          <w:bottom w:val="nil"/>
          <w:right w:val="nil"/>
          <w:between w:val="nil"/>
        </w:pBdr>
        <w:spacing w:before="240" w:after="0"/>
        <w:jc w:val="both"/>
        <w:rPr>
          <w:rFonts w:asciiTheme="majorHAnsi" w:hAnsiTheme="majorHAnsi" w:cstheme="majorHAnsi"/>
          <w:lang w:val="es-ES"/>
        </w:rPr>
      </w:pPr>
      <w:r w:rsidRPr="00CD0C90">
        <w:rPr>
          <w:rFonts w:asciiTheme="majorHAnsi" w:hAnsiTheme="majorHAnsi" w:cstheme="majorHAnsi"/>
          <w:lang w:val="es-ES"/>
        </w:rPr>
        <w:t>Si bien las preguntas sobre minería de carbón en Boyacá, Cundinamarca y Norte de Santander evidencian que la transición energética no puede tratarse solo como un cambio tecnológico, sino como un problema de justicia distributiva y territorial. El Congreso presiona para que el MME garantice vías de transición justa (reconversión productiva, mercados alternativos, compras estatales) antes de imponer restricciones. Además, aunque la expedición del Decreto 875 de 2025 (Sistema Nacional de Seguridad Minera) es un ejemplo de política que genera menos controversia, pero la discusión sobre el carbón sigue siendo el punto más álgido.</w:t>
      </w:r>
    </w:p>
    <w:p w14:paraId="0B8028E4" w14:textId="62993F20" w:rsidR="00C50F13" w:rsidRPr="00CD0C90" w:rsidRDefault="00C50F13" w:rsidP="00CD0C90">
      <w:pPr>
        <w:jc w:val="both"/>
        <w:rPr>
          <w:rFonts w:asciiTheme="majorHAnsi" w:hAnsiTheme="majorHAnsi" w:cstheme="majorHAnsi"/>
        </w:rPr>
      </w:pPr>
      <w:r w:rsidRPr="00CD0C90">
        <w:rPr>
          <w:rFonts w:asciiTheme="majorHAnsi" w:hAnsiTheme="majorHAnsi" w:cstheme="majorHAnsi"/>
          <w:lang w:val="es-ES"/>
        </w:rPr>
        <w:t>La proposición no fue citada a debate de control político.</w:t>
      </w:r>
    </w:p>
    <w:p w14:paraId="40916008" w14:textId="625376F3" w:rsidR="00222BBC" w:rsidRPr="00CD0C90" w:rsidRDefault="00C50F13" w:rsidP="00CD0C90">
      <w:pPr>
        <w:pStyle w:val="Ttulo2"/>
        <w:spacing w:line="276" w:lineRule="auto"/>
        <w:rPr>
          <w:rFonts w:asciiTheme="majorHAnsi" w:hAnsiTheme="majorHAnsi" w:cstheme="majorHAnsi"/>
          <w:sz w:val="22"/>
          <w:szCs w:val="22"/>
        </w:rPr>
      </w:pPr>
      <w:bookmarkStart w:id="64" w:name="_Hlk228996089"/>
      <w:bookmarkStart w:id="65" w:name="_Toc234920376"/>
      <w:r w:rsidRPr="00CD0C90">
        <w:rPr>
          <w:rFonts w:asciiTheme="majorHAnsi" w:hAnsiTheme="majorHAnsi" w:cstheme="majorHAnsi"/>
          <w:sz w:val="22"/>
          <w:szCs w:val="22"/>
        </w:rPr>
        <w:t>2.2</w:t>
      </w:r>
      <w:r w:rsidR="00222BBC" w:rsidRPr="00CD0C90">
        <w:rPr>
          <w:rFonts w:asciiTheme="majorHAnsi" w:hAnsiTheme="majorHAnsi" w:cstheme="majorHAnsi"/>
          <w:sz w:val="22"/>
          <w:szCs w:val="22"/>
        </w:rPr>
        <w:t xml:space="preserve"> Proyectos de ley asociados a la Transición Energética Justa (2024-2026)</w:t>
      </w:r>
      <w:bookmarkEnd w:id="65"/>
    </w:p>
    <w:bookmarkEnd w:id="64"/>
    <w:p w14:paraId="241DEBD9"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 xml:space="preserve">Se han identificado y analizado seis proyectos de ley estratégicos radicados entre 2024 y 2025 (aunque algunos reflejan debates iniciados en legislaturas anteriores), seleccionados por su relevancia temática y por la diversidad de su origen (parlamentario o gubernamental):Este apartado integra los elementos fundamentales para la comprensión del sector minero y la configuración del mismo a través de sus dimensiones generales, desde el plano territorial, social, ambiental y la gestión pública; pero también, integra unas dimensiones particulares, que permiten una comprensión del sector en sus escenarios productivos, ecosistémicos, empresariales y normativos. </w:t>
      </w:r>
    </w:p>
    <w:p w14:paraId="2AEDAE9D" w14:textId="4E6242D6" w:rsidR="00222BBC" w:rsidRPr="00CD0C90" w:rsidRDefault="00C50F13" w:rsidP="00CD0C90">
      <w:pPr>
        <w:pStyle w:val="Ttulo3"/>
        <w:spacing w:line="276" w:lineRule="auto"/>
        <w:rPr>
          <w:rFonts w:asciiTheme="majorHAnsi" w:hAnsiTheme="majorHAnsi" w:cstheme="majorHAnsi"/>
          <w:sz w:val="22"/>
          <w:szCs w:val="22"/>
        </w:rPr>
      </w:pPr>
      <w:bookmarkStart w:id="66" w:name="_Toc234920377"/>
      <w:r w:rsidRPr="00CD0C90">
        <w:rPr>
          <w:rFonts w:asciiTheme="majorHAnsi" w:hAnsiTheme="majorHAnsi" w:cstheme="majorHAnsi"/>
          <w:sz w:val="22"/>
          <w:szCs w:val="22"/>
          <w:lang w:val="es-ES"/>
        </w:rPr>
        <w:t>2.2</w:t>
      </w:r>
      <w:r w:rsidR="00222BBC" w:rsidRPr="00CD0C90">
        <w:rPr>
          <w:rFonts w:asciiTheme="majorHAnsi" w:hAnsiTheme="majorHAnsi" w:cstheme="majorHAnsi"/>
          <w:sz w:val="22"/>
          <w:szCs w:val="22"/>
          <w:lang w:val="es-ES"/>
        </w:rPr>
        <w:t>.1 Proyecto de ley 134 de 2024 - Integración vertical</w:t>
      </w:r>
      <w:bookmarkEnd w:id="66"/>
      <w:r w:rsidR="00222BBC" w:rsidRPr="00CD0C90">
        <w:rPr>
          <w:rFonts w:asciiTheme="majorHAnsi" w:hAnsiTheme="majorHAnsi" w:cstheme="majorHAnsi"/>
          <w:sz w:val="22"/>
          <w:szCs w:val="22"/>
        </w:rPr>
        <w:t> </w:t>
      </w:r>
    </w:p>
    <w:p w14:paraId="7B507B26"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Tema: Nuevos modelos de negocio para impulsar la transición energética</w:t>
      </w:r>
      <w:r w:rsidRPr="00CD0C90">
        <w:rPr>
          <w:rFonts w:asciiTheme="majorHAnsi" w:hAnsiTheme="majorHAnsi" w:cstheme="majorHAnsi"/>
        </w:rPr>
        <w:t> </w:t>
      </w:r>
    </w:p>
    <w:p w14:paraId="599150E5"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Objeto: Se propone que Ecopetrol se convierta en punta de lanza de la transición energética del país, que no solo produzca riqueza para la nación dependente de combustibles fósiles, sino que sea el vehículo de la inversión gubernamental en generación FNCER.</w:t>
      </w:r>
      <w:r w:rsidRPr="00CD0C90">
        <w:rPr>
          <w:rFonts w:asciiTheme="majorHAnsi" w:hAnsiTheme="majorHAnsi" w:cstheme="majorHAnsi"/>
        </w:rPr>
        <w:t> </w:t>
      </w:r>
    </w:p>
    <w:p w14:paraId="36D95734"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lastRenderedPageBreak/>
        <w:t>Fecha de radicación: Agosto 15 de 2024</w:t>
      </w:r>
      <w:r w:rsidRPr="00CD0C90">
        <w:rPr>
          <w:rFonts w:asciiTheme="majorHAnsi" w:hAnsiTheme="majorHAnsi" w:cstheme="majorHAnsi"/>
        </w:rPr>
        <w:t> </w:t>
      </w:r>
    </w:p>
    <w:p w14:paraId="4AF342F4"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Comisión V de senado</w:t>
      </w:r>
      <w:r w:rsidRPr="00CD0C90">
        <w:rPr>
          <w:rFonts w:asciiTheme="majorHAnsi" w:hAnsiTheme="majorHAnsi" w:cstheme="majorHAnsi"/>
        </w:rPr>
        <w:t> </w:t>
      </w:r>
    </w:p>
    <w:p w14:paraId="715C550B"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Enlace </w:t>
      </w:r>
      <w:hyperlink r:id="rId31" w:tgtFrame="_blank" w:history="1">
        <w:r w:rsidRPr="00CD0C90">
          <w:rPr>
            <w:rStyle w:val="Hipervnculo"/>
            <w:rFonts w:asciiTheme="majorHAnsi" w:hAnsiTheme="majorHAnsi" w:cstheme="majorHAnsi"/>
            <w:lang w:val="es-ES"/>
          </w:rPr>
          <w:t>aquí</w:t>
        </w:r>
      </w:hyperlink>
      <w:r w:rsidRPr="00CD0C90">
        <w:rPr>
          <w:rFonts w:asciiTheme="majorHAnsi" w:hAnsiTheme="majorHAnsi" w:cstheme="majorHAnsi"/>
        </w:rPr>
        <w:t> </w:t>
      </w:r>
    </w:p>
    <w:p w14:paraId="7E376EFE"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b/>
          <w:bCs/>
        </w:rPr>
      </w:pPr>
      <w:r w:rsidRPr="00CD0C90">
        <w:rPr>
          <w:rFonts w:asciiTheme="majorHAnsi" w:hAnsiTheme="majorHAnsi" w:cstheme="majorHAnsi"/>
          <w:b/>
          <w:bCs/>
          <w:lang w:val="es-ES"/>
        </w:rPr>
        <w:t>Análisis:</w:t>
      </w:r>
      <w:r w:rsidRPr="00CD0C90">
        <w:rPr>
          <w:rFonts w:asciiTheme="majorHAnsi" w:hAnsiTheme="majorHAnsi" w:cstheme="majorHAnsi"/>
          <w:b/>
          <w:bCs/>
        </w:rPr>
        <w:t> </w:t>
      </w:r>
    </w:p>
    <w:p w14:paraId="2FAA0AF9"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proyecto surge como una nueva versión del Proyecto de Ley 320 de 2023, el cual fue archivado por el Congreso, pero amplía su objeto al incluir gas e hidrógeno. La iniciativa fue radicada el 15 de agosto de 2024 por el Senador José David Name, con el respaldo inicial del Gobierno Nacional (mensaje de urgencia en la legislatura pasada).</w:t>
      </w:r>
      <w:r w:rsidRPr="00CD0C90">
        <w:rPr>
          <w:rFonts w:asciiTheme="majorHAnsi" w:hAnsiTheme="majorHAnsi" w:cstheme="majorHAnsi"/>
        </w:rPr>
        <w:t> </w:t>
      </w:r>
    </w:p>
    <w:p w14:paraId="2973C04F"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proyecto permite que una empresa o un grupo empresarial realice actividades de generación (solo con fuentes no convencionales – FNCER) y transmisión de energía, un hecho que prohíbe el artículo 74 de la Ley 143 de 1994. Al mismo tiempo, mantiene la prohibición para generación con fuentes fósiles o hidroeléctrica convencional.</w:t>
      </w:r>
      <w:r w:rsidRPr="00CD0C90">
        <w:rPr>
          <w:rFonts w:asciiTheme="majorHAnsi" w:hAnsiTheme="majorHAnsi" w:cstheme="majorHAnsi"/>
        </w:rPr>
        <w:t> </w:t>
      </w:r>
    </w:p>
    <w:p w14:paraId="58A565F9"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proyecto propone, entre otras cosas, que la empresa con más del 25% de la demanda del SIN no podrá cubrir más del 20% de su mercado regulado con energía propia o de filiales y ordena garantizar independencia del operador del sistema (XM) respecto de agentes verticalmente integrados. Ecopetrol (dueño del 51,4% de ISA) podría usar la red de transmisión para evacuar excedentes de sus proyectos solares, eólicos e hidrógeno verde, que actualmente no es permitido. Adicionalmente, se acelera la descarbonización sin necesidad de nueva infraestructura de transmisión y se promueve el I+D+i en hidrógeno y captura de CO₂.</w:t>
      </w:r>
      <w:r w:rsidRPr="00CD0C90">
        <w:rPr>
          <w:rFonts w:asciiTheme="majorHAnsi" w:hAnsiTheme="majorHAnsi" w:cstheme="majorHAnsi"/>
        </w:rPr>
        <w:t> </w:t>
      </w:r>
    </w:p>
    <w:p w14:paraId="5C45E20A"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La restricción a solo FNCER es correcta podría limitar la flexibilidad futura si se requieren respaldos con otras tecnologías bajas en emisiones (ej. hidrógeno fósil con captura). </w:t>
      </w:r>
      <w:r w:rsidRPr="00CD0C90">
        <w:rPr>
          <w:rFonts w:asciiTheme="majorHAnsi" w:hAnsiTheme="majorHAnsi" w:cstheme="majorHAnsi"/>
        </w:rPr>
        <w:t> </w:t>
      </w:r>
    </w:p>
    <w:p w14:paraId="7FFD78A3"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artículo 2 permite a empresas del sector de gas natural repotenciar o convertir oleoductos y otros activos de hidrocarburos para transportar gas natural, hidrógeno, energéticos renovables y sus mezclas. </w:t>
      </w:r>
      <w:r w:rsidRPr="00CD0C90">
        <w:rPr>
          <w:rFonts w:asciiTheme="majorHAnsi" w:hAnsiTheme="majorHAnsi" w:cstheme="majorHAnsi"/>
        </w:rPr>
        <w:t> </w:t>
      </w:r>
    </w:p>
    <w:p w14:paraId="3A0A11B5"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Si bien es importante para el país buscar ampliar la oferta de gas natural, de cara a una demanda creciente del 2% anual. No obstante, los descubrimientos offshore en el Caribe no tienen sistemas de evacuación, por lo que aprovechar la infraestructura existente (oleoductos sin uso o subutilizados) reduciría el impacto ambiental, aceleraría la entrada en operación y podría ayudar a evitar la construcción de nuevos gasoductos.</w:t>
      </w:r>
      <w:r w:rsidRPr="00CD0C90">
        <w:rPr>
          <w:rFonts w:asciiTheme="majorHAnsi" w:hAnsiTheme="majorHAnsi" w:cstheme="majorHAnsi"/>
        </w:rPr>
        <w:t> </w:t>
      </w:r>
    </w:p>
    <w:p w14:paraId="2F561669"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Además de ello, el PL establece que quienes reconviertan infraestructura no podrán atender directamente demanda que ya sea atendida por distribuidores o comercializadores. Eso evita el cherry-picking de grandes industriales, protegiendo el subsidio cruzado y la eficiencia del servicio domiciliario.</w:t>
      </w:r>
      <w:r w:rsidRPr="00CD0C90">
        <w:rPr>
          <w:rFonts w:asciiTheme="majorHAnsi" w:hAnsiTheme="majorHAnsi" w:cstheme="majorHAnsi"/>
        </w:rPr>
        <w:t> </w:t>
      </w:r>
    </w:p>
    <w:p w14:paraId="14A682D4"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lastRenderedPageBreak/>
        <w:t>El proyecto recoge planteamientos que el propio MME había sugerido en mesas técnicas durante la discusión del PL 320 de 2023.</w:t>
      </w:r>
      <w:r w:rsidRPr="00CD0C90">
        <w:rPr>
          <w:rFonts w:asciiTheme="majorHAnsi" w:hAnsiTheme="majorHAnsi" w:cstheme="majorHAnsi"/>
        </w:rPr>
        <w:t> </w:t>
      </w:r>
    </w:p>
    <w:p w14:paraId="52F5B9D5"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Se incluyeron salvaguardas de competencia e independencia de XM que fueron solicitadas por la Superintendencia de Servicios Públicos y por la CREG.</w:t>
      </w:r>
      <w:r w:rsidRPr="00CD0C90">
        <w:rPr>
          <w:rFonts w:asciiTheme="majorHAnsi" w:hAnsiTheme="majorHAnsi" w:cstheme="majorHAnsi"/>
        </w:rPr>
        <w:t> </w:t>
      </w:r>
    </w:p>
    <w:p w14:paraId="37E710C6"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MME fue consultado informalmente antes de la radicación, y sus observaciones sobre plazos y límites de participación en el mercado fueron parcialmente acogidas.</w:t>
      </w:r>
      <w:r w:rsidRPr="00CD0C90">
        <w:rPr>
          <w:rFonts w:asciiTheme="majorHAnsi" w:hAnsiTheme="majorHAnsi" w:cstheme="majorHAnsi"/>
        </w:rPr>
        <w:t> </w:t>
      </w:r>
    </w:p>
    <w:p w14:paraId="367B4117" w14:textId="16E55C00"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 xml:space="preserve">No obstante, el Congreso impuso un plazo de 3 meses a la CREG para regular, sin evaluar la capacidad actual de la Comisión (que tiene otras funciones prioritarias como la regulación de tarifas de energía y gas), por lo que el MME consideró que el </w:t>
      </w:r>
      <w:r w:rsidR="001D4B0A" w:rsidRPr="00CD0C90">
        <w:rPr>
          <w:rFonts w:asciiTheme="majorHAnsi" w:hAnsiTheme="majorHAnsi" w:cstheme="majorHAnsi"/>
          <w:lang w:val="es-ES"/>
        </w:rPr>
        <w:t>legislativo</w:t>
      </w:r>
      <w:r w:rsidRPr="00CD0C90">
        <w:rPr>
          <w:rFonts w:asciiTheme="majorHAnsi" w:hAnsiTheme="majorHAnsi" w:cstheme="majorHAnsi"/>
          <w:lang w:val="es-ES"/>
        </w:rPr>
        <w:t xml:space="preserve"> no dimensionó la carga regulatoria real al plantear este periodo.</w:t>
      </w:r>
      <w:r w:rsidRPr="00CD0C90">
        <w:rPr>
          <w:rFonts w:asciiTheme="majorHAnsi" w:hAnsiTheme="majorHAnsi" w:cstheme="majorHAnsi"/>
        </w:rPr>
        <w:t> </w:t>
      </w:r>
    </w:p>
    <w:p w14:paraId="317CDBEF"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proyecto fue radicado sin que el Ministerio emitiera concepto oficial de impacto fiscal y técnico, lo cual afecta la coordinación entre el ejecutivo y el legislativo.</w:t>
      </w:r>
      <w:r w:rsidRPr="00CD0C90">
        <w:rPr>
          <w:rFonts w:asciiTheme="majorHAnsi" w:hAnsiTheme="majorHAnsi" w:cstheme="majorHAnsi"/>
        </w:rPr>
        <w:t> </w:t>
      </w:r>
    </w:p>
    <w:p w14:paraId="1E0E2BBB" w14:textId="3F4D8098" w:rsidR="00222BBC" w:rsidRPr="00CD0C90" w:rsidRDefault="00C50F13" w:rsidP="00CD0C90">
      <w:pPr>
        <w:pStyle w:val="Ttulo3"/>
        <w:spacing w:line="276" w:lineRule="auto"/>
        <w:rPr>
          <w:rFonts w:asciiTheme="majorHAnsi" w:hAnsiTheme="majorHAnsi" w:cstheme="majorHAnsi"/>
          <w:sz w:val="22"/>
          <w:szCs w:val="22"/>
        </w:rPr>
      </w:pPr>
      <w:bookmarkStart w:id="67" w:name="_Toc234920378"/>
      <w:r w:rsidRPr="00CD0C90">
        <w:rPr>
          <w:rFonts w:asciiTheme="majorHAnsi" w:hAnsiTheme="majorHAnsi" w:cstheme="majorHAnsi"/>
          <w:sz w:val="22"/>
          <w:szCs w:val="22"/>
          <w:lang w:val="es-ES"/>
        </w:rPr>
        <w:t>2.2.2</w:t>
      </w:r>
      <w:r w:rsidR="00222BBC" w:rsidRPr="00CD0C90">
        <w:rPr>
          <w:rFonts w:asciiTheme="majorHAnsi" w:hAnsiTheme="majorHAnsi" w:cstheme="majorHAnsi"/>
          <w:sz w:val="22"/>
          <w:szCs w:val="22"/>
          <w:lang w:val="es-ES"/>
        </w:rPr>
        <w:t xml:space="preserve"> Proyecto de ley 224 de 2024 - Ley de economía azul y ecológica</w:t>
      </w:r>
      <w:bookmarkEnd w:id="67"/>
      <w:r w:rsidR="00222BBC" w:rsidRPr="00CD0C90">
        <w:rPr>
          <w:rFonts w:asciiTheme="majorHAnsi" w:hAnsiTheme="majorHAnsi" w:cstheme="majorHAnsi"/>
          <w:sz w:val="22"/>
          <w:szCs w:val="22"/>
        </w:rPr>
        <w:t> </w:t>
      </w:r>
    </w:p>
    <w:p w14:paraId="20B0587D"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Tema: Promover la economía azul y la economía ecológica en los ecosistemas hídricos.</w:t>
      </w:r>
      <w:r w:rsidRPr="00CD0C90">
        <w:rPr>
          <w:rFonts w:asciiTheme="majorHAnsi" w:hAnsiTheme="majorHAnsi" w:cstheme="majorHAnsi"/>
        </w:rPr>
        <w:t> </w:t>
      </w:r>
    </w:p>
    <w:p w14:paraId="283F65B0"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Objeto: Establecer los lineamientos para la formulación de la política pública para el impulso y la promoción de la economía azul y la economía ecológica en los ecosistemas hídricos del país.</w:t>
      </w:r>
      <w:r w:rsidRPr="00CD0C90">
        <w:rPr>
          <w:rFonts w:asciiTheme="majorHAnsi" w:hAnsiTheme="majorHAnsi" w:cstheme="majorHAnsi"/>
        </w:rPr>
        <w:t> </w:t>
      </w:r>
    </w:p>
    <w:p w14:paraId="232CE635"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Autores: Senadores Laura Ester Fortich Sánchez, Richard Fuelantala Delgado, Carlos Julio González Villa, Soledad Tamayo Tamayo, Paulino Riascos Riascos, Ferney Silva Idrobo, Liliana Bitar Castilla, Didier Lobo Chinchilla, Edgar Díaz Contreras, Marcos Daniel Pineda, Lorena Rios Cuellar, Claudia Pérez Giraldo, Karina Espinosa Oliver, Nicolas Echeverry Alvarán y Representante Ruth Caicedo De Enríquez.</w:t>
      </w:r>
      <w:r w:rsidRPr="00CD0C90">
        <w:rPr>
          <w:rFonts w:asciiTheme="majorHAnsi" w:hAnsiTheme="majorHAnsi" w:cstheme="majorHAnsi"/>
        </w:rPr>
        <w:t> </w:t>
      </w:r>
    </w:p>
    <w:p w14:paraId="0C884DDB"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Comisión V de Senado</w:t>
      </w:r>
      <w:r w:rsidRPr="00CD0C90">
        <w:rPr>
          <w:rFonts w:asciiTheme="majorHAnsi" w:hAnsiTheme="majorHAnsi" w:cstheme="majorHAnsi"/>
        </w:rPr>
        <w:t> </w:t>
      </w:r>
    </w:p>
    <w:p w14:paraId="641F92CA"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Fecha de radicación: 04 de septiembre de 2024</w:t>
      </w:r>
      <w:r w:rsidRPr="00CD0C90">
        <w:rPr>
          <w:rFonts w:asciiTheme="majorHAnsi" w:hAnsiTheme="majorHAnsi" w:cstheme="majorHAnsi"/>
        </w:rPr>
        <w:t> </w:t>
      </w:r>
    </w:p>
    <w:p w14:paraId="2A4F2D1F"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Enlace </w:t>
      </w:r>
      <w:hyperlink r:id="rId32" w:tgtFrame="_blank" w:history="1">
        <w:r w:rsidRPr="00CD0C90">
          <w:rPr>
            <w:rStyle w:val="Hipervnculo"/>
            <w:rFonts w:asciiTheme="majorHAnsi" w:hAnsiTheme="majorHAnsi" w:cstheme="majorHAnsi"/>
            <w:lang w:val="es-ES"/>
          </w:rPr>
          <w:t>aquí</w:t>
        </w:r>
      </w:hyperlink>
      <w:r w:rsidRPr="00CD0C90">
        <w:rPr>
          <w:rFonts w:asciiTheme="majorHAnsi" w:hAnsiTheme="majorHAnsi" w:cstheme="majorHAnsi"/>
        </w:rPr>
        <w:t> </w:t>
      </w:r>
    </w:p>
    <w:p w14:paraId="3A82BAA8"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b/>
          <w:bCs/>
        </w:rPr>
      </w:pPr>
      <w:r w:rsidRPr="00CD0C90">
        <w:rPr>
          <w:rFonts w:asciiTheme="majorHAnsi" w:hAnsiTheme="majorHAnsi" w:cstheme="majorHAnsi"/>
          <w:b/>
          <w:bCs/>
          <w:lang w:val="es-ES"/>
        </w:rPr>
        <w:t>Análisis:</w:t>
      </w:r>
      <w:r w:rsidRPr="00CD0C90">
        <w:rPr>
          <w:rFonts w:asciiTheme="majorHAnsi" w:hAnsiTheme="majorHAnsi" w:cstheme="majorHAnsi"/>
          <w:b/>
          <w:bCs/>
        </w:rPr>
        <w:t> </w:t>
      </w:r>
    </w:p>
    <w:p w14:paraId="443F81F1"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 xml:space="preserve">Este proyecto de ley ordena al Gobierno Nacional diseñar e implementar políticas, planes, programas, proyectos e inversiones en un plazo de un año, con un horizonte estratégico de diez años para ciertos sectores, con base en la Constitución Ecológica, el Plan Nacional de Desarrollo 2022-2026, la Agenda 2030 </w:t>
      </w:r>
      <w:r w:rsidRPr="00CD0C90">
        <w:rPr>
          <w:rFonts w:asciiTheme="majorHAnsi" w:hAnsiTheme="majorHAnsi" w:cstheme="majorHAnsi"/>
          <w:lang w:val="es-ES"/>
        </w:rPr>
        <w:lastRenderedPageBreak/>
        <w:t>y los Objetivos de Desarrollo Sostenible (especialmente ODS 14: Vida submarina, y ODS 6: Agua limpia y saneamiento).</w:t>
      </w:r>
      <w:r w:rsidRPr="00CD0C90">
        <w:rPr>
          <w:rFonts w:asciiTheme="majorHAnsi" w:hAnsiTheme="majorHAnsi" w:cstheme="majorHAnsi"/>
        </w:rPr>
        <w:t> </w:t>
      </w:r>
    </w:p>
    <w:p w14:paraId="5368DC42"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MME tiene un papel relevante en este proyecto, especialmente en lo relacionado con generación de energía renovable en ecosistemas marinos y acuáticos y, de manera transversal, en aspectos de transición energética, eficiencia, infraestructura y acceso a energía.</w:t>
      </w:r>
      <w:r w:rsidRPr="00CD0C90">
        <w:rPr>
          <w:rFonts w:asciiTheme="majorHAnsi" w:hAnsiTheme="majorHAnsi" w:cstheme="majorHAnsi"/>
        </w:rPr>
        <w:t> </w:t>
      </w:r>
    </w:p>
    <w:p w14:paraId="78D6A46B"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La economía ecológica en ecosistemas de agua dulce tiene menos vínculo directo con el MME, salvo en lo relativo a pequeñas centrales hidroeléctricas, energía solar flotante en embalses y eficiencia energética en sistemas de bombeo y tratamiento de agua. </w:t>
      </w:r>
      <w:r w:rsidRPr="00CD0C90">
        <w:rPr>
          <w:rFonts w:asciiTheme="majorHAnsi" w:hAnsiTheme="majorHAnsi" w:cstheme="majorHAnsi"/>
        </w:rPr>
        <w:t> </w:t>
      </w:r>
    </w:p>
    <w:p w14:paraId="5D6E91E8"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Se ordena al MME, con apoyo de MinAmbiente, promover, incentivar y desarrollar proyectos de energía sostenible en ecosistemas marinos, incluyendo energía undimotriz (olas), mareomotriz (mareas), térmica, osmótica, eólica offshore, de corrientes y demás mecanismos de generación de energías de fuentes acuáticas. También incluye apoyo a comunidades con sistemas de producción renovable.</w:t>
      </w:r>
      <w:r w:rsidRPr="00CD0C90">
        <w:rPr>
          <w:rFonts w:asciiTheme="majorHAnsi" w:hAnsiTheme="majorHAnsi" w:cstheme="majorHAnsi"/>
        </w:rPr>
        <w:t> </w:t>
      </w:r>
    </w:p>
    <w:p w14:paraId="75E066FE"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La exposición de motivos cita un potencial de hasta 50 GW de eólica offshore y estudios de la Universidad Nacional y DIMAR en energías marinas. Sin embargo, el MME advierte que los costos de estas tecnologías aún son altos y que su viabilidad comercial en Colombia tomará al menos una década. El proyecto es prospectivo, pero no debe generar expectativas de corto plazo.</w:t>
      </w:r>
      <w:r w:rsidRPr="00CD0C90">
        <w:rPr>
          <w:rFonts w:asciiTheme="majorHAnsi" w:hAnsiTheme="majorHAnsi" w:cstheme="majorHAnsi"/>
        </w:rPr>
        <w:t> </w:t>
      </w:r>
    </w:p>
    <w:p w14:paraId="3CDC05D3"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Congreso incluyó al MME en dos artículos estratégicos (4, 11 y especialmente 28), valorando su competencia en energías renovables marinas. Esto demuestra confianza en la capacidad técnica del Ministerio.</w:t>
      </w:r>
      <w:r w:rsidRPr="00CD0C90">
        <w:rPr>
          <w:rFonts w:asciiTheme="majorHAnsi" w:hAnsiTheme="majorHAnsi" w:cstheme="majorHAnsi"/>
        </w:rPr>
        <w:t> </w:t>
      </w:r>
    </w:p>
    <w:p w14:paraId="5FD84AB0"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La iniciativa no modifica ni deroga leyes sectoriales del MME (como la 1715 de 2014 o la 2099 de 2021), sino que las complementa y remite a sus beneficios.</w:t>
      </w:r>
      <w:r w:rsidRPr="00CD0C90">
        <w:rPr>
          <w:rFonts w:asciiTheme="majorHAnsi" w:hAnsiTheme="majorHAnsi" w:cstheme="majorHAnsi"/>
        </w:rPr>
        <w:t> </w:t>
      </w:r>
    </w:p>
    <w:p w14:paraId="07B63661" w14:textId="3F428138" w:rsidR="00222BBC" w:rsidRPr="00CD0C90" w:rsidRDefault="00C50F13" w:rsidP="00CD0C90">
      <w:pPr>
        <w:pStyle w:val="Ttulo3"/>
        <w:spacing w:line="276" w:lineRule="auto"/>
        <w:rPr>
          <w:rFonts w:asciiTheme="majorHAnsi" w:hAnsiTheme="majorHAnsi" w:cstheme="majorHAnsi"/>
          <w:sz w:val="22"/>
          <w:szCs w:val="22"/>
        </w:rPr>
      </w:pPr>
      <w:bookmarkStart w:id="68" w:name="_Toc234920379"/>
      <w:r w:rsidRPr="00CD0C90">
        <w:rPr>
          <w:rFonts w:asciiTheme="majorHAnsi" w:hAnsiTheme="majorHAnsi" w:cstheme="majorHAnsi"/>
          <w:sz w:val="22"/>
          <w:szCs w:val="22"/>
          <w:lang w:val="es-ES"/>
        </w:rPr>
        <w:t>2.2.</w:t>
      </w:r>
      <w:r w:rsidR="00222BBC" w:rsidRPr="00CD0C90">
        <w:rPr>
          <w:rFonts w:asciiTheme="majorHAnsi" w:hAnsiTheme="majorHAnsi" w:cstheme="majorHAnsi"/>
          <w:sz w:val="22"/>
          <w:szCs w:val="22"/>
          <w:lang w:val="es-ES"/>
        </w:rPr>
        <w:t>3 Proyecto de ley 273 de 2025 - Comunidades energéticas</w:t>
      </w:r>
      <w:bookmarkEnd w:id="68"/>
      <w:r w:rsidR="00222BBC" w:rsidRPr="00CD0C90">
        <w:rPr>
          <w:rFonts w:asciiTheme="majorHAnsi" w:hAnsiTheme="majorHAnsi" w:cstheme="majorHAnsi"/>
          <w:sz w:val="22"/>
          <w:szCs w:val="22"/>
        </w:rPr>
        <w:t> </w:t>
      </w:r>
    </w:p>
    <w:p w14:paraId="7450E50D"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Tema: Promoción de la generación de energía solar en esquemas de asistencia estatal, balance neto y comunidades energéticas.</w:t>
      </w:r>
      <w:r w:rsidRPr="00CD0C90">
        <w:rPr>
          <w:rFonts w:asciiTheme="majorHAnsi" w:hAnsiTheme="majorHAnsi" w:cstheme="majorHAnsi"/>
        </w:rPr>
        <w:t> </w:t>
      </w:r>
    </w:p>
    <w:p w14:paraId="5E701E4E"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Objeto: La norma crea un marco legal y técnico para fomentar la generación distribuida de energía solar en Colombia, priorizando a personas naturales, micronegocios y comunidades vulnerables. Establece mecanismos como conexión asistida, balance neto, incentivos tributarios, cofinanciación pública y comunidades energéticas simplificadas, asegurando una integración ordenada al Sistema Interconectado Nacional (SIN) y alineada con la transición energética, la sostenibilidad y la equidad territorial. También define conceptos clave como Autogenerador a Pequeña Escala (AGPE), Sistema Fotovoltaico Interconectado (SFVI) y micronegocio, delimitando con precisión los actores y tecnologías que cubre.</w:t>
      </w:r>
      <w:r w:rsidRPr="00CD0C90">
        <w:rPr>
          <w:rFonts w:asciiTheme="majorHAnsi" w:hAnsiTheme="majorHAnsi" w:cstheme="majorHAnsi"/>
        </w:rPr>
        <w:t> </w:t>
      </w:r>
    </w:p>
    <w:p w14:paraId="0E477679"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lastRenderedPageBreak/>
        <w:t>Autores: Senadores Ana Paola Agudelo, Carlos Eduardo Guevara, Irma Luz Herrera y Manuel Virgüez.</w:t>
      </w:r>
      <w:r w:rsidRPr="00CD0C90">
        <w:rPr>
          <w:rFonts w:asciiTheme="majorHAnsi" w:hAnsiTheme="majorHAnsi" w:cstheme="majorHAnsi"/>
        </w:rPr>
        <w:t> </w:t>
      </w:r>
    </w:p>
    <w:p w14:paraId="6698B527"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Comisión V de Senado</w:t>
      </w:r>
      <w:r w:rsidRPr="00CD0C90">
        <w:rPr>
          <w:rFonts w:asciiTheme="majorHAnsi" w:hAnsiTheme="majorHAnsi" w:cstheme="majorHAnsi"/>
        </w:rPr>
        <w:t> </w:t>
      </w:r>
    </w:p>
    <w:p w14:paraId="0B6A9806"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Fecha de radicación: 17 de septiembre de 2025</w:t>
      </w:r>
      <w:r w:rsidRPr="00CD0C90">
        <w:rPr>
          <w:rFonts w:asciiTheme="majorHAnsi" w:hAnsiTheme="majorHAnsi" w:cstheme="majorHAnsi"/>
        </w:rPr>
        <w:t> </w:t>
      </w:r>
    </w:p>
    <w:p w14:paraId="1356E584"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Enlace </w:t>
      </w:r>
      <w:hyperlink r:id="rId33" w:tgtFrame="_blank" w:history="1">
        <w:r w:rsidRPr="00CD0C90">
          <w:rPr>
            <w:rStyle w:val="Hipervnculo"/>
            <w:rFonts w:asciiTheme="majorHAnsi" w:hAnsiTheme="majorHAnsi" w:cstheme="majorHAnsi"/>
            <w:lang w:val="es-ES"/>
          </w:rPr>
          <w:t>aquí</w:t>
        </w:r>
      </w:hyperlink>
      <w:r w:rsidRPr="00CD0C90">
        <w:rPr>
          <w:rFonts w:asciiTheme="majorHAnsi" w:hAnsiTheme="majorHAnsi" w:cstheme="majorHAnsi"/>
        </w:rPr>
        <w:t> </w:t>
      </w:r>
    </w:p>
    <w:p w14:paraId="07AFA96F"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b/>
          <w:bCs/>
        </w:rPr>
      </w:pPr>
      <w:r w:rsidRPr="00CD0C90">
        <w:rPr>
          <w:rFonts w:asciiTheme="majorHAnsi" w:hAnsiTheme="majorHAnsi" w:cstheme="majorHAnsi"/>
          <w:b/>
          <w:bCs/>
          <w:lang w:val="es-ES"/>
        </w:rPr>
        <w:t>Análisis:</w:t>
      </w:r>
      <w:r w:rsidRPr="00CD0C90">
        <w:rPr>
          <w:rFonts w:asciiTheme="majorHAnsi" w:hAnsiTheme="majorHAnsi" w:cstheme="majorHAnsi"/>
          <w:b/>
          <w:bCs/>
        </w:rPr>
        <w:t> </w:t>
      </w:r>
    </w:p>
    <w:p w14:paraId="7903CECD"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proyecto se basa principalmente en el crecimiento acelerado de la energía solar en Colombia (1.625 MW instalados en 2024), e identifica cuellos de botella normativos y operativos que frenan el acceso de hogares y pequeños negocios a la autogeneración.</w:t>
      </w:r>
      <w:r w:rsidRPr="00CD0C90">
        <w:rPr>
          <w:rFonts w:asciiTheme="majorHAnsi" w:hAnsiTheme="majorHAnsi" w:cstheme="majorHAnsi"/>
        </w:rPr>
        <w:t> </w:t>
      </w:r>
    </w:p>
    <w:p w14:paraId="2221999E"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MME es la entidad central para la implementación de este proyecto, especialmente en lo relacionado con regulación, cofinanciación, supervisión técnica y articulación con la CREG y la UPME.</w:t>
      </w:r>
      <w:r w:rsidRPr="00CD0C90">
        <w:rPr>
          <w:rFonts w:asciiTheme="majorHAnsi" w:hAnsiTheme="majorHAnsi" w:cstheme="majorHAnsi"/>
        </w:rPr>
        <w:t> </w:t>
      </w:r>
    </w:p>
    <w:p w14:paraId="7E0F01B6"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marco integral para la generación solar distribuida propuesto está en armonía con las políticas de transición energética justa del Gobierno Nacional.</w:t>
      </w:r>
      <w:r w:rsidRPr="00CD0C90">
        <w:rPr>
          <w:rFonts w:asciiTheme="majorHAnsi" w:hAnsiTheme="majorHAnsi" w:cstheme="majorHAnsi"/>
        </w:rPr>
        <w:t> </w:t>
      </w:r>
    </w:p>
    <w:p w14:paraId="20C18F9E"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La propuesta define conceptos como Autogenerador a Pequeña Escala (AGPE) hasta 100 kW, micronegocio, comunidad energética simplificada (hasta 200 kW sin ser comercializador). Adicionalmente, establece un proceso simplificado con diagnóstico técnico gratuito para estratos 1 a 3, cofinanciación diferenciada por estrato (70%, 50%, 30%), y plazos máximos para viabilidad (9 días hábiles) e instalación de medidor (10 días adicionales). No obstante, la ventanilla única propuesta debería integrar a UPME, CREG, OR y Ministerios.</w:t>
      </w:r>
      <w:r w:rsidRPr="00CD0C90">
        <w:rPr>
          <w:rFonts w:asciiTheme="majorHAnsi" w:hAnsiTheme="majorHAnsi" w:cstheme="majorHAnsi"/>
        </w:rPr>
        <w:t> </w:t>
      </w:r>
    </w:p>
    <w:p w14:paraId="3CAF5479"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articulado crea un programa en el MME para financiar hasta el 70% de sistemas fotovoltaicos para estratos 1,2,3 y microempresas.</w:t>
      </w:r>
      <w:r w:rsidRPr="00CD0C90">
        <w:rPr>
          <w:rFonts w:asciiTheme="majorHAnsi" w:hAnsiTheme="majorHAnsi" w:cstheme="majorHAnsi"/>
        </w:rPr>
        <w:t> </w:t>
      </w:r>
    </w:p>
    <w:p w14:paraId="2D488904" w14:textId="6B87E41D"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 xml:space="preserve">El PL 273 de 2025 es una iniciativa parlamentaria autónoma del Partido MIRA, que no surge del </w:t>
      </w:r>
      <w:r w:rsidR="001D4B0A" w:rsidRPr="00CD0C90">
        <w:rPr>
          <w:rFonts w:asciiTheme="majorHAnsi" w:hAnsiTheme="majorHAnsi" w:cstheme="majorHAnsi"/>
          <w:lang w:val="es-ES"/>
        </w:rPr>
        <w:t>ejecutivo</w:t>
      </w:r>
      <w:r w:rsidRPr="00CD0C90">
        <w:rPr>
          <w:rFonts w:asciiTheme="majorHAnsi" w:hAnsiTheme="majorHAnsi" w:cstheme="majorHAnsi"/>
          <w:lang w:val="es-ES"/>
        </w:rPr>
        <w:t>. Sin embargo, aborda un tema central de la agenda del MME (generación solar distribuida). La relación puede calificarse como de cooperación técnica pero con tensiones sobre tiempos y recursos fiscales.</w:t>
      </w:r>
      <w:r w:rsidRPr="00CD0C90">
        <w:rPr>
          <w:rFonts w:asciiTheme="majorHAnsi" w:hAnsiTheme="majorHAnsi" w:cstheme="majorHAnsi"/>
        </w:rPr>
        <w:t> </w:t>
      </w:r>
    </w:p>
    <w:p w14:paraId="52BD16E0"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proyecto asigna al MME un rol protagónico en el Programa Nacional de Cofinanciación Solar y en la reglamentación.</w:t>
      </w:r>
      <w:r w:rsidRPr="00CD0C90">
        <w:rPr>
          <w:rFonts w:asciiTheme="majorHAnsi" w:hAnsiTheme="majorHAnsi" w:cstheme="majorHAnsi"/>
        </w:rPr>
        <w:t> </w:t>
      </w:r>
    </w:p>
    <w:p w14:paraId="3B236099"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No obstante, se hace necesario que antes de su discusión en plenaria, se realicen mesas de trabajo con el Ministerio de Hacienda y el DNP para cuantificar el impacto fiscal y definir fuentes de financiación (FENOGE, cooperación, presupuesto nacional), y reemplazar la exención de impuesto predial por una deducción en el impuesto de renta municipal o por un incentivo no territorial.</w:t>
      </w:r>
      <w:r w:rsidRPr="00CD0C90">
        <w:rPr>
          <w:rFonts w:asciiTheme="majorHAnsi" w:hAnsiTheme="majorHAnsi" w:cstheme="majorHAnsi"/>
        </w:rPr>
        <w:t> </w:t>
      </w:r>
    </w:p>
    <w:p w14:paraId="573DA386" w14:textId="388834D8" w:rsidR="00222BBC" w:rsidRPr="00CD0C90" w:rsidRDefault="00C50F13" w:rsidP="00CD0C90">
      <w:pPr>
        <w:pStyle w:val="Ttulo3"/>
        <w:spacing w:line="276" w:lineRule="auto"/>
        <w:rPr>
          <w:rFonts w:asciiTheme="majorHAnsi" w:hAnsiTheme="majorHAnsi" w:cstheme="majorHAnsi"/>
          <w:sz w:val="22"/>
          <w:szCs w:val="22"/>
        </w:rPr>
      </w:pPr>
      <w:bookmarkStart w:id="69" w:name="_Toc234920380"/>
      <w:r w:rsidRPr="00CD0C90">
        <w:rPr>
          <w:rFonts w:asciiTheme="majorHAnsi" w:hAnsiTheme="majorHAnsi" w:cstheme="majorHAnsi"/>
          <w:sz w:val="22"/>
          <w:szCs w:val="22"/>
          <w:lang w:val="es-ES"/>
        </w:rPr>
        <w:lastRenderedPageBreak/>
        <w:t>2.2.</w:t>
      </w:r>
      <w:r w:rsidR="00222BBC" w:rsidRPr="00CD0C90">
        <w:rPr>
          <w:rFonts w:asciiTheme="majorHAnsi" w:hAnsiTheme="majorHAnsi" w:cstheme="majorHAnsi"/>
          <w:sz w:val="22"/>
          <w:szCs w:val="22"/>
          <w:lang w:val="es-ES"/>
        </w:rPr>
        <w:t>4 Proyecto de ley 176 de 2025 – BIOGAS</w:t>
      </w:r>
      <w:bookmarkEnd w:id="69"/>
      <w:r w:rsidR="00222BBC" w:rsidRPr="00CD0C90">
        <w:rPr>
          <w:rFonts w:asciiTheme="majorHAnsi" w:hAnsiTheme="majorHAnsi" w:cstheme="majorHAnsi"/>
          <w:sz w:val="22"/>
          <w:szCs w:val="22"/>
        </w:rPr>
        <w:t> </w:t>
      </w:r>
    </w:p>
    <w:p w14:paraId="72B732A1"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Tema: Política pública nacional de descarbonización con biogás y biometano.</w:t>
      </w:r>
      <w:r w:rsidRPr="00CD0C90">
        <w:rPr>
          <w:rFonts w:asciiTheme="majorHAnsi" w:hAnsiTheme="majorHAnsi" w:cstheme="majorHAnsi"/>
        </w:rPr>
        <w:t> </w:t>
      </w:r>
    </w:p>
    <w:p w14:paraId="791E3A5A"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Objeto: Establece un marco normativo integral para la gestión de residuos sólidos en Colombia, promoviendo la producción y el consumo responsables, y consolidando la transición hacia una economía circular. Sus pilares fundamentales son:</w:t>
      </w:r>
      <w:r w:rsidRPr="00CD0C90">
        <w:rPr>
          <w:rFonts w:asciiTheme="majorHAnsi" w:hAnsiTheme="majorHAnsi" w:cstheme="majorHAnsi"/>
        </w:rPr>
        <w:t> </w:t>
      </w:r>
    </w:p>
    <w:p w14:paraId="17B1963E"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Autor: Senador José David Name</w:t>
      </w:r>
      <w:r w:rsidRPr="00CD0C90">
        <w:rPr>
          <w:rFonts w:asciiTheme="majorHAnsi" w:hAnsiTheme="majorHAnsi" w:cstheme="majorHAnsi"/>
        </w:rPr>
        <w:t> </w:t>
      </w:r>
    </w:p>
    <w:p w14:paraId="12DD92A1"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Comisión V de Senado</w:t>
      </w:r>
      <w:r w:rsidRPr="00CD0C90">
        <w:rPr>
          <w:rFonts w:asciiTheme="majorHAnsi" w:hAnsiTheme="majorHAnsi" w:cstheme="majorHAnsi"/>
        </w:rPr>
        <w:t> </w:t>
      </w:r>
    </w:p>
    <w:p w14:paraId="594EF69D"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Fecha de radicación: 14 de agosto de 2025</w:t>
      </w:r>
      <w:r w:rsidRPr="00CD0C90">
        <w:rPr>
          <w:rFonts w:asciiTheme="majorHAnsi" w:hAnsiTheme="majorHAnsi" w:cstheme="majorHAnsi"/>
        </w:rPr>
        <w:t> </w:t>
      </w:r>
    </w:p>
    <w:p w14:paraId="4557D3DB"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Enlace </w:t>
      </w:r>
      <w:hyperlink r:id="rId34" w:tgtFrame="_blank" w:history="1">
        <w:r w:rsidRPr="00CD0C90">
          <w:rPr>
            <w:rStyle w:val="Hipervnculo"/>
            <w:rFonts w:asciiTheme="majorHAnsi" w:hAnsiTheme="majorHAnsi" w:cstheme="majorHAnsi"/>
            <w:lang w:val="es-ES"/>
          </w:rPr>
          <w:t>aquí</w:t>
        </w:r>
      </w:hyperlink>
      <w:r w:rsidRPr="00CD0C90">
        <w:rPr>
          <w:rFonts w:asciiTheme="majorHAnsi" w:hAnsiTheme="majorHAnsi" w:cstheme="majorHAnsi"/>
        </w:rPr>
        <w:t> </w:t>
      </w:r>
    </w:p>
    <w:p w14:paraId="556744D6"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b/>
          <w:bCs/>
        </w:rPr>
      </w:pPr>
      <w:r w:rsidRPr="00CD0C90">
        <w:rPr>
          <w:rFonts w:asciiTheme="majorHAnsi" w:hAnsiTheme="majorHAnsi" w:cstheme="majorHAnsi"/>
          <w:b/>
          <w:bCs/>
          <w:lang w:val="es-ES"/>
        </w:rPr>
        <w:t>Análisis:</w:t>
      </w:r>
      <w:r w:rsidRPr="00CD0C90">
        <w:rPr>
          <w:rFonts w:asciiTheme="majorHAnsi" w:hAnsiTheme="majorHAnsi" w:cstheme="majorHAnsi"/>
          <w:b/>
          <w:bCs/>
        </w:rPr>
        <w:t> </w:t>
      </w:r>
    </w:p>
    <w:p w14:paraId="75C89C22"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proyecto se fundamenta en: (i) los compromisos internacionales de descarbonización (NDC de Colombia: reducción del 51% de GEI para 2030 y carbono neutralidad en 2050); (ii) el nivel deficitario de gas natural en firme (según la Bolsa Mercantil de Colombia, para 2026 hay un faltante de 205.727 MBTUD); (iii) el potencial no aprovechado de biogás y biometano en Colombia (59% del potencial según la UPME); y (iv) la existencia de una regulación previa (Resolución CREG 240 de 2016) que reconoce el biogás como FNCER.</w:t>
      </w:r>
      <w:r w:rsidRPr="00CD0C90">
        <w:rPr>
          <w:rFonts w:asciiTheme="majorHAnsi" w:hAnsiTheme="majorHAnsi" w:cstheme="majorHAnsi"/>
        </w:rPr>
        <w:t> </w:t>
      </w:r>
    </w:p>
    <w:p w14:paraId="2C1AAEC0"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MME es la entidad central y rectora de esta política pública, con responsabilidades directas en su adopción, reglamentación, coordinación interministerial y supervisión técnica.</w:t>
      </w:r>
      <w:r w:rsidRPr="00CD0C90">
        <w:rPr>
          <w:rFonts w:asciiTheme="majorHAnsi" w:hAnsiTheme="majorHAnsi" w:cstheme="majorHAnsi"/>
        </w:rPr>
        <w:t> </w:t>
      </w:r>
    </w:p>
    <w:p w14:paraId="16AED2E5"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proyecto incluye conceptos como digestión anaerobia, biometanación, procesos termoquímicos, redes aisladas para biogás, servicio público domiciliario de gas combustible con biogás o biometano, etc.</w:t>
      </w:r>
      <w:r w:rsidRPr="00CD0C90">
        <w:rPr>
          <w:rFonts w:asciiTheme="majorHAnsi" w:hAnsiTheme="majorHAnsi" w:cstheme="majorHAnsi"/>
        </w:rPr>
        <w:t> </w:t>
      </w:r>
    </w:p>
    <w:p w14:paraId="4BDD582F"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La iniciativa establece siete objetivos, entre ellos: reconocer la importancia del biogás para los compromisos de descarbonización y ODS; fomentar la producción y consumo; impulsar la cadena nacional de valor; incentivar vehículos a metano (pesados, agrícolas); promover la conexión de plantas a redes de gas natural; contribuir a la autosuficiencia energética y diversificación de la matriz; dinamizar la producción agropecuaria y la economía circular.</w:t>
      </w:r>
      <w:r w:rsidRPr="00CD0C90">
        <w:rPr>
          <w:rFonts w:asciiTheme="majorHAnsi" w:hAnsiTheme="majorHAnsi" w:cstheme="majorHAnsi"/>
        </w:rPr>
        <w:t> </w:t>
      </w:r>
    </w:p>
    <w:p w14:paraId="058CD75F"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 xml:space="preserve">La estrategia declara de interés nacional la PPNBB, somete su desarrollo a las reglas de libre competencia e igualdad de condiciones y también crea un programa de movilidad para la descarbonización en el que ordena al Ministerio de Transporte, en articulación con el MME, formular un programa de movilidad con </w:t>
      </w:r>
      <w:r w:rsidRPr="00CD0C90">
        <w:rPr>
          <w:rFonts w:asciiTheme="majorHAnsi" w:hAnsiTheme="majorHAnsi" w:cstheme="majorHAnsi"/>
          <w:lang w:val="es-ES"/>
        </w:rPr>
        <w:lastRenderedPageBreak/>
        <w:t>vehículos a biogás o biometano, priorizando transporte pesado, agrícola, público, minero-industrial, comercial y de pasajeros. </w:t>
      </w:r>
      <w:r w:rsidRPr="00CD0C90">
        <w:rPr>
          <w:rFonts w:asciiTheme="majorHAnsi" w:hAnsiTheme="majorHAnsi" w:cstheme="majorHAnsi"/>
        </w:rPr>
        <w:t> </w:t>
      </w:r>
    </w:p>
    <w:p w14:paraId="072F1841"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Para la promoción de la movilidad con biogás y biometano se realizaría una exención de restricciones vehiculares (pico y placa, etc.) por 3 años y una exención del certificado de emisión de gases contaminantes. No obstante, la exención del certificado de emisiones puede ser técnicamente problemática, porque, aunque el biometano quema más limpio que el diésel, no es cero emisiones (puede generar NOx, CO, etc.). Eximir el certificado podría llevar a que vehículos mal mantenidos circulen sin control.</w:t>
      </w:r>
      <w:r w:rsidRPr="00CD0C90">
        <w:rPr>
          <w:rFonts w:asciiTheme="majorHAnsi" w:hAnsiTheme="majorHAnsi" w:cstheme="majorHAnsi"/>
        </w:rPr>
        <w:t> </w:t>
      </w:r>
    </w:p>
    <w:p w14:paraId="34C226B1"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Como incentivos para el aprovechamiento de residuos, los proyectos que utilicen residuos orgánicos para producir electricidad, calor o combustibles (incluyendo biogás y biometano) serían considerados FNCER para acceder a los beneficios de los artículos 11 al 14 de la Ley 1715 de 2014 (exclusión de IVA, deducción en renta, depreciación acelerada, exención de aranceles). </w:t>
      </w:r>
      <w:r w:rsidRPr="00CD0C90">
        <w:rPr>
          <w:rFonts w:asciiTheme="majorHAnsi" w:hAnsiTheme="majorHAnsi" w:cstheme="majorHAnsi"/>
        </w:rPr>
        <w:t> </w:t>
      </w:r>
    </w:p>
    <w:p w14:paraId="17532D2B"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En cuanto a la seguridad energética, todos los planes, programas y proyectos de biogás deberían garantizar la seguridad energética a largo plazo y contribuir a la diversificación descarbonizada.</w:t>
      </w:r>
      <w:r w:rsidRPr="00CD0C90">
        <w:rPr>
          <w:rFonts w:asciiTheme="majorHAnsi" w:hAnsiTheme="majorHAnsi" w:cstheme="majorHAnsi"/>
        </w:rPr>
        <w:t> </w:t>
      </w:r>
    </w:p>
    <w:p w14:paraId="6CF88E6E"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Establece condiciones de calidad, seguridad y responsabilidad emitidas por la CREG para la prestación del servicio público domiciliario de gas combustible con biogás o biometano mediante redes interconectadas al SNT. Además de ello, permite redes aisladas que no hagan parte del SNT. </w:t>
      </w:r>
      <w:r w:rsidRPr="00CD0C90">
        <w:rPr>
          <w:rFonts w:asciiTheme="majorHAnsi" w:hAnsiTheme="majorHAnsi" w:cstheme="majorHAnsi"/>
        </w:rPr>
        <w:t> </w:t>
      </w:r>
    </w:p>
    <w:p w14:paraId="167CFA90"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La estrategia ordena al MME, Ministerio de Transporte y MinCiencias promover formación, I+D en toda la cadena de biogás, permitiendo así la generación de convenios con universidades y organizaciones privadas.</w:t>
      </w:r>
      <w:r w:rsidRPr="00CD0C90">
        <w:rPr>
          <w:rFonts w:asciiTheme="majorHAnsi" w:hAnsiTheme="majorHAnsi" w:cstheme="majorHAnsi"/>
        </w:rPr>
        <w:t> </w:t>
      </w:r>
    </w:p>
    <w:p w14:paraId="53A52FAB"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Además de ello, propone la creación de sistemas de créditos de carbono para que los proyectos de biogás y biometano puedan acceder a créditos de carbono, según establece la Ley 1931 de 2018 y la Ley 1819 de 2016.</w:t>
      </w:r>
      <w:r w:rsidRPr="00CD0C90">
        <w:rPr>
          <w:rFonts w:asciiTheme="majorHAnsi" w:hAnsiTheme="majorHAnsi" w:cstheme="majorHAnsi"/>
        </w:rPr>
        <w:t> </w:t>
      </w:r>
    </w:p>
    <w:p w14:paraId="0322864C"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PL 176 de 2025 es una iniciativa parlamentaria individual que aborda un tema fundamental para la seguridad energética del país: la sustitución de gas natural por biogás y biometano ante el déficit proyectado. La relación puede calificarse como de alta tensión técnica y política, porque el proyecto responde a una urgencia (escasez de gas en firme) que el propio Gobierno Nacional no ha resuelto, pero al mismo tiempo impone plazos y competencias que el MME considera inalcanzables.</w:t>
      </w:r>
      <w:r w:rsidRPr="00CD0C90">
        <w:rPr>
          <w:rFonts w:asciiTheme="majorHAnsi" w:hAnsiTheme="majorHAnsi" w:cstheme="majorHAnsi"/>
        </w:rPr>
        <w:t> </w:t>
      </w:r>
    </w:p>
    <w:p w14:paraId="5E86B68C"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Exención del certificado de emisiones (artículo 6): El MME y el Ministerio de Ambiente consideran que la exención del certificado de emisiones es inconsistente con la política nacional de calidad del aire. Un vehículo a biometano debe cumplir estándares de emisión, aunque sean más bajos que los de diésel. </w:t>
      </w:r>
      <w:r w:rsidRPr="00CD0C90">
        <w:rPr>
          <w:rFonts w:asciiTheme="majorHAnsi" w:hAnsiTheme="majorHAnsi" w:cstheme="majorHAnsi"/>
        </w:rPr>
        <w:t> </w:t>
      </w:r>
    </w:p>
    <w:p w14:paraId="711607C1"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lastRenderedPageBreak/>
        <w:t>El PL 176 de 2025 refleja una relación de colaboración sustantiva, pero con tensiones significativas en materia de plazos, competencias sectoriales y rigor técnico. El Senador Name identifica el déficit de gas natural en el país y también el potencial del biogás como parte de la solución. Para el MME este proyecto impone plazos difíciles, no es claro en la delimitación de competencias de cada Ministerio y propone una exención ambientalmente insostenible.</w:t>
      </w:r>
      <w:r w:rsidRPr="00CD0C90">
        <w:rPr>
          <w:rFonts w:asciiTheme="majorHAnsi" w:hAnsiTheme="majorHAnsi" w:cstheme="majorHAnsi"/>
        </w:rPr>
        <w:t> </w:t>
      </w:r>
    </w:p>
    <w:p w14:paraId="7534615C" w14:textId="65158DF1" w:rsidR="00222BBC" w:rsidRPr="00CD0C90" w:rsidRDefault="00C50F13" w:rsidP="00CD0C90">
      <w:pPr>
        <w:pStyle w:val="Ttulo3"/>
        <w:spacing w:line="276" w:lineRule="auto"/>
        <w:rPr>
          <w:rFonts w:asciiTheme="majorHAnsi" w:hAnsiTheme="majorHAnsi" w:cstheme="majorHAnsi"/>
          <w:sz w:val="22"/>
          <w:szCs w:val="22"/>
        </w:rPr>
      </w:pPr>
      <w:bookmarkStart w:id="70" w:name="_Toc234920381"/>
      <w:r w:rsidRPr="00CD0C90">
        <w:rPr>
          <w:rFonts w:asciiTheme="majorHAnsi" w:hAnsiTheme="majorHAnsi" w:cstheme="majorHAnsi"/>
          <w:sz w:val="22"/>
          <w:szCs w:val="22"/>
          <w:lang w:val="es-ES"/>
        </w:rPr>
        <w:t>2.2.</w:t>
      </w:r>
      <w:r w:rsidR="00222BBC" w:rsidRPr="00CD0C90">
        <w:rPr>
          <w:rFonts w:asciiTheme="majorHAnsi" w:hAnsiTheme="majorHAnsi" w:cstheme="majorHAnsi"/>
          <w:sz w:val="22"/>
          <w:szCs w:val="22"/>
          <w:lang w:val="es-ES"/>
        </w:rPr>
        <w:t xml:space="preserve">5 Proyecto de ley 294 de 2025 - </w:t>
      </w:r>
      <w:r w:rsidRPr="00CD0C90">
        <w:rPr>
          <w:rFonts w:asciiTheme="majorHAnsi" w:hAnsiTheme="majorHAnsi" w:cstheme="majorHAnsi"/>
          <w:sz w:val="22"/>
          <w:szCs w:val="22"/>
          <w:lang w:val="es-ES"/>
        </w:rPr>
        <w:t>prohibición del fracking</w:t>
      </w:r>
      <w:bookmarkEnd w:id="70"/>
      <w:r w:rsidRPr="00CD0C90">
        <w:rPr>
          <w:rFonts w:asciiTheme="majorHAnsi" w:hAnsiTheme="majorHAnsi" w:cstheme="majorHAnsi"/>
          <w:sz w:val="22"/>
          <w:szCs w:val="22"/>
        </w:rPr>
        <w:t> </w:t>
      </w:r>
    </w:p>
    <w:p w14:paraId="7587F623"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Tema: Exploración y producción de yacimientos no convencionales (YNC) y fracking.</w:t>
      </w:r>
      <w:r w:rsidRPr="00CD0C90">
        <w:rPr>
          <w:rFonts w:asciiTheme="majorHAnsi" w:hAnsiTheme="majorHAnsi" w:cstheme="majorHAnsi"/>
        </w:rPr>
        <w:t> </w:t>
      </w:r>
    </w:p>
    <w:p w14:paraId="7BFA9652"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Objeto: Prohibir la exploración y explotación de hidrocarburos en Yacimientos No Convencionales (YNC) en todo el territorio nacional, asociados a areniscas bituminosas, hidratos de metano, gas asociado a mantos de carbón, areniscas y carbonatos apretados y lutitas, así como la utilización de la técnica de fracking en secciones horizontales, para la explotación de hidrocarburos en dichos yacimientos</w:t>
      </w:r>
      <w:r w:rsidRPr="00CD0C90">
        <w:rPr>
          <w:rFonts w:asciiTheme="majorHAnsi" w:hAnsiTheme="majorHAnsi" w:cstheme="majorHAnsi"/>
        </w:rPr>
        <w:t> </w:t>
      </w:r>
    </w:p>
    <w:p w14:paraId="5765C07F"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Fecha de radicación: 22 de julio de 2025</w:t>
      </w:r>
      <w:r w:rsidRPr="00CD0C90">
        <w:rPr>
          <w:rFonts w:asciiTheme="majorHAnsi" w:hAnsiTheme="majorHAnsi" w:cstheme="majorHAnsi"/>
        </w:rPr>
        <w:t> </w:t>
      </w:r>
    </w:p>
    <w:p w14:paraId="7596B9F3"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Autores: Senadores Esmeralda Hernández, Iván Cepeda, Robert Daza Guevara, Aída Marina Quilcué Vivas, María José Pizarro Rodríguez, Sandra Yaneth Jaimes Cruz, Edwing Fabián Díaz Plata, Carlos Alberto Benavides Mora, Aida Yolanda Avella Esquivel y Martha Isabel Peralta Epieyu.</w:t>
      </w:r>
      <w:r w:rsidRPr="00CD0C90">
        <w:rPr>
          <w:rFonts w:asciiTheme="majorHAnsi" w:hAnsiTheme="majorHAnsi" w:cstheme="majorHAnsi"/>
        </w:rPr>
        <w:t> </w:t>
      </w:r>
    </w:p>
    <w:p w14:paraId="32689C1C"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Enlace </w:t>
      </w:r>
      <w:hyperlink r:id="rId35" w:tgtFrame="_blank" w:history="1">
        <w:r w:rsidRPr="00CD0C90">
          <w:rPr>
            <w:rStyle w:val="Hipervnculo"/>
            <w:rFonts w:asciiTheme="majorHAnsi" w:hAnsiTheme="majorHAnsi" w:cstheme="majorHAnsi"/>
            <w:lang w:val="es-ES"/>
          </w:rPr>
          <w:t>aquí</w:t>
        </w:r>
      </w:hyperlink>
      <w:r w:rsidRPr="00CD0C90">
        <w:rPr>
          <w:rFonts w:asciiTheme="majorHAnsi" w:hAnsiTheme="majorHAnsi" w:cstheme="majorHAnsi"/>
        </w:rPr>
        <w:t> </w:t>
      </w:r>
    </w:p>
    <w:p w14:paraId="7239A952"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b/>
          <w:bCs/>
        </w:rPr>
      </w:pPr>
      <w:r w:rsidRPr="00CD0C90">
        <w:rPr>
          <w:rFonts w:asciiTheme="majorHAnsi" w:hAnsiTheme="majorHAnsi" w:cstheme="majorHAnsi"/>
          <w:b/>
          <w:bCs/>
          <w:lang w:val="es-ES"/>
        </w:rPr>
        <w:t>Análisis:</w:t>
      </w:r>
      <w:r w:rsidRPr="00CD0C90">
        <w:rPr>
          <w:rFonts w:asciiTheme="majorHAnsi" w:hAnsiTheme="majorHAnsi" w:cstheme="majorHAnsi"/>
          <w:b/>
          <w:bCs/>
        </w:rPr>
        <w:t> </w:t>
      </w:r>
    </w:p>
    <w:p w14:paraId="2921B61C"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proyecto establece un régimen de transición para los contratos vigentes, ofreciendo opciones de reubicación o terminación sin penalidades, y ordena al MME reglamentar las definiciones y prohibiciones en el plazo de un año.</w:t>
      </w:r>
      <w:r w:rsidRPr="00CD0C90">
        <w:rPr>
          <w:rFonts w:asciiTheme="majorHAnsi" w:hAnsiTheme="majorHAnsi" w:cstheme="majorHAnsi"/>
        </w:rPr>
        <w:t> </w:t>
      </w:r>
    </w:p>
    <w:p w14:paraId="0D542BD0"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Se trata de una iniciativa que ha sido presentada en otras legislaturas (PL 71/2018, 336/2020, 132/2021, 114/2022, 496/2025) con apoyo de congresistas de diversas fuerzas políticas y de la Alianza Colombia Libre de Fracking. Ha contado con conceptos de viabilidad de los Ministerios de Ambiente, Minas y Energía y Hacienda en el pasado, pero nunca ha sido aprobada.</w:t>
      </w:r>
      <w:r w:rsidRPr="00CD0C90">
        <w:rPr>
          <w:rFonts w:asciiTheme="majorHAnsi" w:hAnsiTheme="majorHAnsi" w:cstheme="majorHAnsi"/>
        </w:rPr>
        <w:t> </w:t>
      </w:r>
    </w:p>
    <w:p w14:paraId="712183A8"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MME es la autoridad competente en materia de política de hidrocarburos, regulación técnica y supervisión de la Agencia Nacional de Hidrocarburos (ANH), por lo cual, el proyecto afecta directamente las atribuciones del MME y de la ANH.</w:t>
      </w:r>
      <w:r w:rsidRPr="00CD0C90">
        <w:rPr>
          <w:rFonts w:asciiTheme="majorHAnsi" w:hAnsiTheme="majorHAnsi" w:cstheme="majorHAnsi"/>
        </w:rPr>
        <w:t> </w:t>
      </w:r>
    </w:p>
    <w:p w14:paraId="2DC4AD9B"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articulado prohíbe la exploración y explotación de YNC y el fracking, busca proteger el medio ambiente, la salud, prevenir conflictos socioambientales y contribuir al cumplimiento del Acuerdo de París.</w:t>
      </w:r>
      <w:r w:rsidRPr="00CD0C90">
        <w:rPr>
          <w:rFonts w:asciiTheme="majorHAnsi" w:hAnsiTheme="majorHAnsi" w:cstheme="majorHAnsi"/>
        </w:rPr>
        <w:t> </w:t>
      </w:r>
    </w:p>
    <w:p w14:paraId="6D44EA99"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lastRenderedPageBreak/>
        <w:t>No obstante, no distingue entre diferentes tipos de YNC. Por ejemplo, el “gas metano asociado a mantos de carbón” (CBM) se ha extraído en Colombia sin fracking, mediante técnicas convencionales. La prohibición absoluta de la producción de CBM, incluso sin fracking, podría tener consecuencias no deseadas sobre el abastecimiento de gas natural.</w:t>
      </w:r>
      <w:r w:rsidRPr="00CD0C90">
        <w:rPr>
          <w:rFonts w:asciiTheme="majorHAnsi" w:hAnsiTheme="majorHAnsi" w:cstheme="majorHAnsi"/>
        </w:rPr>
        <w:t> </w:t>
      </w:r>
    </w:p>
    <w:p w14:paraId="07E8E0E1"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Adicionalmente, prohíbe la utilización del fracturamiento hidráulico multietapa en secciones horizontales para la explotación de hidrocarburos en YNC, así como la exploración y explotación de hidrocarburos provenientes de YNC del tipo areniscas bituminosas, hidratos de metano, gas asociado a mantos de carbón, arenas y carbonatos apretados, y lutitas. También declara sin vigencia los Contratos Especiales de Proyectos de Investigación (CEPI). Los CEPI fueron los contratos suscritos para los proyectos piloto de fracking en el Valle Medio del Magdalena (proyectos Kalé, Platero y Conejo). La terminación de los CEPI fue una sugerencia del MME en conceptos anteriores, debido a que los proyectos piloto nunca demostraron viabilidad ambiental y social. </w:t>
      </w:r>
      <w:r w:rsidRPr="00CD0C90">
        <w:rPr>
          <w:rFonts w:asciiTheme="majorHAnsi" w:hAnsiTheme="majorHAnsi" w:cstheme="majorHAnsi"/>
        </w:rPr>
        <w:t> </w:t>
      </w:r>
    </w:p>
    <w:p w14:paraId="0C07BD6E"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texto prohíbe nuevos contratos, prórrogas o renovaciones, razón por la cual, para los contratos vigentes, la ANH deberá ofrecer a los contratistas cuatro opciones: (i) nuevo contrato en la misma área para yacimientos convencionales, (ii) traslado de inversiones, (iii) adjudicación de áreas no otorgadas, o (iv) terminación por mutuo acuerdo sin consecuencias adversas ni pago de inversión pendiente. Transcurridos dos años sin acogerse a las opciones, los contratos se entienden terminados sin penalidades. Este regimen de transición que minimiza el riesgo de demandas internacionales bajo tratados de inversión (CIADI).</w:t>
      </w:r>
      <w:r w:rsidRPr="00CD0C90">
        <w:rPr>
          <w:rFonts w:asciiTheme="majorHAnsi" w:hAnsiTheme="majorHAnsi" w:cstheme="majorHAnsi"/>
        </w:rPr>
        <w:t> </w:t>
      </w:r>
    </w:p>
    <w:p w14:paraId="1FFAE673"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PL 053 de 2025 es una iniciativa parlamentaria recurrente con apoyo transversal de numerosos congresistas de distintas bancadas y de movimientos sociales. El MME ha tenido posiciones cambiantes en el pasado: durante el gobierno anterior (Duque) se apoyaron los proyectos piloto de fracking; en el gobierno actual (Petro) la posición del MME ha sido más cautelosa, reconociendo que el país no está listo para el fracking, pero sin una prohibición legal absoluta, mientras que el Congreso ha intentado aprobar esta ley en múltiples ocasiones sin éxito; y esta vez podría tener la votación necesaria, teniendo en cuenta la conformación de la coalición de fuerzas que favorece al partido de gobierno.</w:t>
      </w:r>
      <w:r w:rsidRPr="00CD0C90">
        <w:rPr>
          <w:rFonts w:asciiTheme="majorHAnsi" w:hAnsiTheme="majorHAnsi" w:cstheme="majorHAnsi"/>
        </w:rPr>
        <w:t> </w:t>
      </w:r>
    </w:p>
    <w:p w14:paraId="77679A2C" w14:textId="1E99623D" w:rsidR="00222BBC" w:rsidRPr="00CD0C90" w:rsidRDefault="00C50F13" w:rsidP="00CD0C90">
      <w:pPr>
        <w:pStyle w:val="Ttulo3"/>
        <w:spacing w:line="276" w:lineRule="auto"/>
        <w:rPr>
          <w:rFonts w:asciiTheme="majorHAnsi" w:hAnsiTheme="majorHAnsi" w:cstheme="majorHAnsi"/>
          <w:sz w:val="22"/>
          <w:szCs w:val="22"/>
        </w:rPr>
      </w:pPr>
      <w:bookmarkStart w:id="71" w:name="_Toc234920382"/>
      <w:r w:rsidRPr="00CD0C90">
        <w:rPr>
          <w:rFonts w:asciiTheme="majorHAnsi" w:hAnsiTheme="majorHAnsi" w:cstheme="majorHAnsi"/>
          <w:sz w:val="22"/>
          <w:szCs w:val="22"/>
          <w:lang w:val="es-ES"/>
        </w:rPr>
        <w:t>2.2.</w:t>
      </w:r>
      <w:r w:rsidR="00222BBC" w:rsidRPr="00CD0C90">
        <w:rPr>
          <w:rFonts w:asciiTheme="majorHAnsi" w:hAnsiTheme="majorHAnsi" w:cstheme="majorHAnsi"/>
          <w:sz w:val="22"/>
          <w:szCs w:val="22"/>
          <w:lang w:val="es-ES"/>
        </w:rPr>
        <w:t>6 Proyecto de ley 282 de 2025 – Nueva ley minera</w:t>
      </w:r>
      <w:bookmarkEnd w:id="71"/>
      <w:r w:rsidR="00222BBC" w:rsidRPr="00CD0C90">
        <w:rPr>
          <w:rFonts w:asciiTheme="majorHAnsi" w:hAnsiTheme="majorHAnsi" w:cstheme="majorHAnsi"/>
          <w:sz w:val="22"/>
          <w:szCs w:val="22"/>
        </w:rPr>
        <w:t> </w:t>
      </w:r>
    </w:p>
    <w:p w14:paraId="5C92865D"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Tema: Reforma al código minero</w:t>
      </w:r>
      <w:r w:rsidRPr="00CD0C90">
        <w:rPr>
          <w:rFonts w:asciiTheme="majorHAnsi" w:hAnsiTheme="majorHAnsi" w:cstheme="majorHAnsi"/>
        </w:rPr>
        <w:t> </w:t>
      </w:r>
    </w:p>
    <w:p w14:paraId="7C398BB4"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 xml:space="preserve">Objeto: Organizar, planificar, regular y fomentar el aprovechamiento sustentable de minerales en el territorio nacional, en armonía con principios, normas y parámetros ambientales, sociales y culturales, con el propósito de fortalecer su administración soberana y avanzar hacia el desarrollo de una economía productiva, participativa e industrializada en el país; garantizar el abastecimiento de minerales; la distribución equitativa de los beneficios y la prestación de sus servicios con un enfoque territorial, étnico e incluyente; alcanzar condiciones dignas de existencia, particularmente en las zonas destinadas a esas </w:t>
      </w:r>
      <w:r w:rsidRPr="00CD0C90">
        <w:rPr>
          <w:rFonts w:asciiTheme="majorHAnsi" w:hAnsiTheme="majorHAnsi" w:cstheme="majorHAnsi"/>
          <w:lang w:val="es-ES"/>
        </w:rPr>
        <w:lastRenderedPageBreak/>
        <w:t>operaciones; y, contribuir al logro de la transición energética justa, segura y gradual para todos los habitantes del país.</w:t>
      </w:r>
      <w:r w:rsidRPr="00CD0C90">
        <w:rPr>
          <w:rFonts w:asciiTheme="majorHAnsi" w:hAnsiTheme="majorHAnsi" w:cstheme="majorHAnsi"/>
        </w:rPr>
        <w:t> </w:t>
      </w:r>
    </w:p>
    <w:p w14:paraId="46B16423"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Autores: Ministerio de Minas y Energía</w:t>
      </w:r>
      <w:r w:rsidRPr="00CD0C90">
        <w:rPr>
          <w:rFonts w:asciiTheme="majorHAnsi" w:hAnsiTheme="majorHAnsi" w:cstheme="majorHAnsi"/>
        </w:rPr>
        <w:t> </w:t>
      </w:r>
    </w:p>
    <w:p w14:paraId="1E5B7459"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Comisión V de Senado</w:t>
      </w:r>
      <w:r w:rsidRPr="00CD0C90">
        <w:rPr>
          <w:rFonts w:asciiTheme="majorHAnsi" w:hAnsiTheme="majorHAnsi" w:cstheme="majorHAnsi"/>
        </w:rPr>
        <w:t> </w:t>
      </w:r>
    </w:p>
    <w:p w14:paraId="358B47CF"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Enlace </w:t>
      </w:r>
      <w:hyperlink r:id="rId36" w:tgtFrame="_blank" w:history="1">
        <w:r w:rsidRPr="00CD0C90">
          <w:rPr>
            <w:rStyle w:val="Hipervnculo"/>
            <w:rFonts w:asciiTheme="majorHAnsi" w:hAnsiTheme="majorHAnsi" w:cstheme="majorHAnsi"/>
            <w:lang w:val="es-ES"/>
          </w:rPr>
          <w:t>aquí</w:t>
        </w:r>
      </w:hyperlink>
      <w:r w:rsidRPr="00CD0C90">
        <w:rPr>
          <w:rFonts w:asciiTheme="majorHAnsi" w:hAnsiTheme="majorHAnsi" w:cstheme="majorHAnsi"/>
        </w:rPr>
        <w:t> </w:t>
      </w:r>
    </w:p>
    <w:p w14:paraId="3B4EA2FF"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b/>
          <w:bCs/>
        </w:rPr>
      </w:pPr>
      <w:r w:rsidRPr="00CD0C90">
        <w:rPr>
          <w:rFonts w:asciiTheme="majorHAnsi" w:hAnsiTheme="majorHAnsi" w:cstheme="majorHAnsi"/>
          <w:b/>
          <w:bCs/>
          <w:lang w:val="es-ES"/>
        </w:rPr>
        <w:t>Análisis:</w:t>
      </w:r>
      <w:r w:rsidRPr="00CD0C90">
        <w:rPr>
          <w:rFonts w:asciiTheme="majorHAnsi" w:hAnsiTheme="majorHAnsi" w:cstheme="majorHAnsi"/>
          <w:b/>
          <w:bCs/>
        </w:rPr>
        <w:t> </w:t>
      </w:r>
    </w:p>
    <w:p w14:paraId="52CFDF76"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MME es el autor, rector y principal ejecutor de esta ley. A diferencia de los proyectos parlamentarios analizados anteriormente, aquí el Ministerio no es un observador externo sino el legitimador político y técnico de la iniciativa.</w:t>
      </w:r>
      <w:r w:rsidRPr="00CD0C90">
        <w:rPr>
          <w:rFonts w:asciiTheme="majorHAnsi" w:hAnsiTheme="majorHAnsi" w:cstheme="majorHAnsi"/>
        </w:rPr>
        <w:t> </w:t>
      </w:r>
    </w:p>
    <w:p w14:paraId="0BBC8F02"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En el artículo 1, que plantea el objeto de la norma, el cambio de minería “sostenible” a “sustentable” implica un uso de los recursos que garantice su permanencia en el tiempo y la regeneración de su capacidad, en línea con la cosmovisión de los pueblos étnicos y con los principios de la economía circular.</w:t>
      </w:r>
      <w:r w:rsidRPr="00CD0C90">
        <w:rPr>
          <w:rFonts w:asciiTheme="majorHAnsi" w:hAnsiTheme="majorHAnsi" w:cstheme="majorHAnsi"/>
        </w:rPr>
        <w:t> </w:t>
      </w:r>
    </w:p>
    <w:p w14:paraId="5BC6EABC"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concepto de “reindustrialización nacional” como eje transversal, representa un cambio con relación al modelo extractivo exportador de materias primas sin valor agregado, siendo este es uno de los aportes más innovadores del proyecto.</w:t>
      </w:r>
      <w:r w:rsidRPr="00CD0C90">
        <w:rPr>
          <w:rFonts w:asciiTheme="majorHAnsi" w:hAnsiTheme="majorHAnsi" w:cstheme="majorHAnsi"/>
        </w:rPr>
        <w:t> </w:t>
      </w:r>
    </w:p>
    <w:p w14:paraId="7928122C"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articulado incluye principios como soberanía sobre los minerales, prevalencia del agua, aprovechamiento sustentable, solidaridad intergeneracional, prevención, precaución, gestión del riesgo, progresividad y no regresividad, rigor subsidiario, coordinación-concurrencia-subsidiariedad, responsabilidad de la minería, responsabilidad climática, tránsito a economías productivas, planificación con enfoque territorial, debida diligencia, participación, igualdad de género, protección a la diversidad étnica y cultural, y protección a los territorios indígenas.</w:t>
      </w:r>
      <w:r w:rsidRPr="00CD0C90">
        <w:rPr>
          <w:rFonts w:asciiTheme="majorHAnsi" w:hAnsiTheme="majorHAnsi" w:cstheme="majorHAnsi"/>
        </w:rPr>
        <w:t> </w:t>
      </w:r>
    </w:p>
    <w:p w14:paraId="114E270F"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La iniciativa crea un modelo de planificación minera que determina Zonas Excluidas de la Minería (ZEM) y Zonas Aptas para la Minería (ZAM), dentro de las cuales se pueden declarar Áreas de Minerales Estratégicos (AME), Áreas para el Desarrollo Minero (ADM), Áreas de Fomento y Formalización para la Pequeña Minería (AFM), y Áreas Mineras de Pueblos y Comunidades Étnicas (AMPCE). Este es el cambio estructural más importante del proyecto porque, actualmente, la Ley 685 de 2001 permite la titulación minera sin planificación territorial previa, lo que ha generado que se presenten conflictos en áreas protegidas como páramos, humedales y territorios étnicos. Este proyecto invierte la lógica: primero se planifica, luego se contrata.</w:t>
      </w:r>
      <w:r w:rsidRPr="00CD0C90">
        <w:rPr>
          <w:rFonts w:asciiTheme="majorHAnsi" w:hAnsiTheme="majorHAnsi" w:cstheme="majorHAnsi"/>
        </w:rPr>
        <w:t> </w:t>
      </w:r>
    </w:p>
    <w:p w14:paraId="7E3D34B3"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El MME asume entonces un rol protagónico en la delimitación de las ZAM, en coordinación con la UPME, el Servicio Geológico Colombiano y el Ministerio de Ambiente. </w:t>
      </w:r>
      <w:r w:rsidRPr="00CD0C90">
        <w:rPr>
          <w:rFonts w:asciiTheme="majorHAnsi" w:hAnsiTheme="majorHAnsi" w:cstheme="majorHAnsi"/>
        </w:rPr>
        <w:t> </w:t>
      </w:r>
    </w:p>
    <w:p w14:paraId="0D1BB775"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lastRenderedPageBreak/>
        <w:t>Se fijan Zonas Excluidas de la Minería (ZEM) como Parques Nacionales Naturales, Parques Naturales Regionales, Reservas Forestales Protectoras, páramos, arrecifes de coral, manglares, humedales Ramsar, patrimonio geológico y espeleológico, zonas de recarga de acuíferos, áreas urbanas, territorios de pueblos indígenas en aislamiento, y espacios marinos y costeros jurisdiccionales (con excepción de la extracción de sal marina desde tierra firme). Esta disposición esta alineada con otras sentencias de las altas cortes, la Decisión 774 de la CAN y con los Objetivos de Desarrollo Sostenible (ODS 14).</w:t>
      </w:r>
      <w:r w:rsidRPr="00CD0C90">
        <w:rPr>
          <w:rFonts w:asciiTheme="majorHAnsi" w:hAnsiTheme="majorHAnsi" w:cstheme="majorHAnsi"/>
        </w:rPr>
        <w:t> </w:t>
      </w:r>
    </w:p>
    <w:p w14:paraId="7B59C3DD"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Se prohíbe la adjudicación de nuevos contratos para carbón térmico, en línea con los compromisos de descarbonización que ha adquirido el gobierno nacional, sin afectar los contratos vigentes. </w:t>
      </w:r>
      <w:r w:rsidRPr="00CD0C90">
        <w:rPr>
          <w:rFonts w:asciiTheme="majorHAnsi" w:hAnsiTheme="majorHAnsi" w:cstheme="majorHAnsi"/>
        </w:rPr>
        <w:t> </w:t>
      </w:r>
    </w:p>
    <w:p w14:paraId="3DBBF69D"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Se establece la noción de ciclo minero, que está conformada por la fase de alistamiento exploratorio (antes de la exploración) para que el contratista obtenga la licencia ambiental, construcción y montaje; explotación, que incluye las actividades de beneficio, transporte, transformación y comercialización; cierre y postcierre. La exploración tiene una duración máxima de 10 años, la construcción y montaje 3 años, y la explotación 20 años prorrogables por única vez.</w:t>
      </w:r>
      <w:r w:rsidRPr="00CD0C90">
        <w:rPr>
          <w:rFonts w:asciiTheme="majorHAnsi" w:hAnsiTheme="majorHAnsi" w:cstheme="majorHAnsi"/>
        </w:rPr>
        <w:t> </w:t>
      </w:r>
    </w:p>
    <w:p w14:paraId="6EF0AC4A"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La inclusión de la licencia ambiental desde la fase de exploración es una recomendación de la OCDE y del Consejo de Estado (sentencia Ventanilla Minera) que acata el MME.</w:t>
      </w:r>
      <w:r w:rsidRPr="00CD0C90">
        <w:rPr>
          <w:rFonts w:asciiTheme="majorHAnsi" w:hAnsiTheme="majorHAnsi" w:cstheme="majorHAnsi"/>
        </w:rPr>
        <w:t> </w:t>
      </w:r>
    </w:p>
    <w:p w14:paraId="220E891F"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En la etapa de cierre minero el contratista está obligado a presentar un plan de cierre antes del inicio de la fase de construcción y montaje, con tres componentes: cierre técnico-minero-operativo, cierre socioambiental y cierre laboral. Se debe constituir un patrimonio autónomo para financiar el cierre. Los contratos vigentes tienen 2 años para adaptarse.</w:t>
      </w:r>
      <w:r w:rsidRPr="00CD0C90">
        <w:rPr>
          <w:rFonts w:asciiTheme="majorHAnsi" w:hAnsiTheme="majorHAnsi" w:cstheme="majorHAnsi"/>
        </w:rPr>
        <w:t> </w:t>
      </w:r>
    </w:p>
    <w:p w14:paraId="22AF3604"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La norma también establece el requerimiento de una licencia ambiental integral desde la exploración hasta el cierre, con monitoreo por fase y concepto de conformidad para pasar a la siguiente fase, una disposición que el MME ha promovido durante años, para la cual la coordinación entre la ANLA y la ANM es clave. </w:t>
      </w:r>
      <w:r w:rsidRPr="00CD0C90">
        <w:rPr>
          <w:rFonts w:asciiTheme="majorHAnsi" w:hAnsiTheme="majorHAnsi" w:cstheme="majorHAnsi"/>
        </w:rPr>
        <w:t> </w:t>
      </w:r>
    </w:p>
    <w:p w14:paraId="36B8036E"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Los requisitos de contratación de al menos 50% de mano de obra local, el plan de Gestión Social con proyectos productivos y reconversión laboral; la transferencia de tecnología; y la priorización de la demanda interna de minerales permiten materializar la noción de “minería para la vida” propuesta por el gobierno nacional, así como el tránsito de una economía extractiva a una productiva. </w:t>
      </w:r>
      <w:r w:rsidRPr="00CD0C90">
        <w:rPr>
          <w:rFonts w:asciiTheme="majorHAnsi" w:hAnsiTheme="majorHAnsi" w:cstheme="majorHAnsi"/>
        </w:rPr>
        <w:t> </w:t>
      </w:r>
    </w:p>
    <w:p w14:paraId="4C6873D8"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También se crea el Registro Único de Mineros y Mineras Informales (RUMMI) y se establecen mecanismos de formalización en áreas libres y en áreas con título vigente (subcontratos, cesión de áreas, etc.), permitiendo atacar la informalidad minera al o frece una hoja de ruta clara para la formalización, incluyendo la minería de subsistencia y ancestral.</w:t>
      </w:r>
      <w:r w:rsidRPr="00CD0C90">
        <w:rPr>
          <w:rFonts w:asciiTheme="majorHAnsi" w:hAnsiTheme="majorHAnsi" w:cstheme="majorHAnsi"/>
        </w:rPr>
        <w:t> </w:t>
      </w:r>
    </w:p>
    <w:p w14:paraId="5E30F9FD"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lastRenderedPageBreak/>
        <w:t>Se crean Áreas Mineras de Pueblos Indígenas (AMPI) y Áreas Mineras de Comunidades Negras, Afrocolombianas, Raizales y Palenqueras (AMCNARP), reconociendo la minería ancestral, y se exonera del canon superficiario a la pequeña minería étnica. Establece contratos diferenciales intransferibles, y garantiza la consulta previa y el consentimiento libre, previo e informado.</w:t>
      </w:r>
      <w:r w:rsidRPr="00CD0C90">
        <w:rPr>
          <w:rFonts w:asciiTheme="majorHAnsi" w:hAnsiTheme="majorHAnsi" w:cstheme="majorHAnsi"/>
        </w:rPr>
        <w:t> </w:t>
      </w:r>
    </w:p>
    <w:p w14:paraId="17F3348E"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Estas acotaciones atienden a que el proyecto contó con las consultas previas a los pueblos indígenas, las comunidades NARP y los pueblos Rrom. Es la primera vez que una ley minera se construye con la participación efectiva de los pueblos étnicos.</w:t>
      </w:r>
      <w:r w:rsidRPr="00CD0C90">
        <w:rPr>
          <w:rFonts w:asciiTheme="majorHAnsi" w:hAnsiTheme="majorHAnsi" w:cstheme="majorHAnsi"/>
        </w:rPr>
        <w:t> </w:t>
      </w:r>
    </w:p>
    <w:p w14:paraId="6833F6A9" w14:textId="77777777"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Por otra parte, también se fortalecen el SIMCO (administrado por la UPME), el SIGM o Anna Minería (administrado por la ANM) y el Banco de Información Minera (BIM), con énfasis en la interoperabilidad entre entidades mineras y ambientales, en cumplimiento de la sentencia Ventanilla Minera.</w:t>
      </w:r>
      <w:r w:rsidRPr="00CD0C90">
        <w:rPr>
          <w:rFonts w:asciiTheme="majorHAnsi" w:hAnsiTheme="majorHAnsi" w:cstheme="majorHAnsi"/>
        </w:rPr>
        <w:t> </w:t>
      </w:r>
    </w:p>
    <w:p w14:paraId="2C8AB1C0" w14:textId="5E52FA03"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lang w:val="es-ES"/>
        </w:rPr>
        <w:t xml:space="preserve">De otra parte, en el caso de este proyecto, el Congreso no es el autor principal, sino el co-legislador que debe debatir, ajustar y aprobar una iniciativa que ya cuenta con el respaldo del </w:t>
      </w:r>
      <w:r w:rsidR="001D4B0A" w:rsidRPr="00CD0C90">
        <w:rPr>
          <w:rFonts w:asciiTheme="majorHAnsi" w:hAnsiTheme="majorHAnsi" w:cstheme="majorHAnsi"/>
          <w:lang w:val="es-ES"/>
        </w:rPr>
        <w:t>ejecutivo</w:t>
      </w:r>
      <w:r w:rsidRPr="00CD0C90">
        <w:rPr>
          <w:rFonts w:asciiTheme="majorHAnsi" w:hAnsiTheme="majorHAnsi" w:cstheme="majorHAnsi"/>
          <w:lang w:val="es-ES"/>
        </w:rPr>
        <w:t>. En este caso existe una relación es de colaboración institucional más que de tensión, aunque pueden surgir discrepancias en la Comisión Quinta sobre artículos específicos (como la prohibición del carbón térmico o la contratación directa).</w:t>
      </w:r>
      <w:r w:rsidRPr="00CD0C90">
        <w:rPr>
          <w:rFonts w:asciiTheme="majorHAnsi" w:hAnsiTheme="majorHAnsi" w:cstheme="majorHAnsi"/>
        </w:rPr>
        <w:t> </w:t>
      </w:r>
    </w:p>
    <w:p w14:paraId="7F2389D0" w14:textId="506D0EC9" w:rsidR="00222BBC" w:rsidRPr="00CD0C90" w:rsidRDefault="00222BBC" w:rsidP="00CD0C90">
      <w:pPr>
        <w:pBdr>
          <w:top w:val="nil"/>
          <w:left w:val="nil"/>
          <w:bottom w:val="nil"/>
          <w:right w:val="nil"/>
          <w:between w:val="nil"/>
        </w:pBdr>
        <w:spacing w:before="240" w:after="0"/>
        <w:jc w:val="both"/>
        <w:rPr>
          <w:rFonts w:asciiTheme="majorHAnsi" w:hAnsiTheme="majorHAnsi" w:cstheme="majorHAnsi"/>
          <w:lang w:val="es-ES"/>
        </w:rPr>
      </w:pPr>
    </w:p>
    <w:p w14:paraId="3B8B332F" w14:textId="77777777" w:rsidR="00222BBC" w:rsidRPr="00CD0C90" w:rsidRDefault="00222BBC" w:rsidP="00CD0C90">
      <w:pPr>
        <w:jc w:val="both"/>
        <w:rPr>
          <w:rFonts w:asciiTheme="majorHAnsi" w:hAnsiTheme="majorHAnsi" w:cstheme="majorHAnsi"/>
          <w:lang w:val="es-ES"/>
        </w:rPr>
      </w:pPr>
    </w:p>
    <w:p w14:paraId="25A6D961" w14:textId="75A7599A" w:rsidR="00655004" w:rsidRPr="00CD0C90" w:rsidRDefault="527FBCD0" w:rsidP="00CD0C90">
      <w:pPr>
        <w:pStyle w:val="Ttulo1"/>
        <w:spacing w:line="276" w:lineRule="auto"/>
        <w:rPr>
          <w:rFonts w:asciiTheme="majorHAnsi" w:hAnsiTheme="majorHAnsi" w:cstheme="majorHAnsi"/>
          <w:sz w:val="22"/>
          <w:szCs w:val="22"/>
        </w:rPr>
      </w:pPr>
      <w:bookmarkStart w:id="72" w:name="_Toc234920383"/>
      <w:r w:rsidRPr="00CD0C90">
        <w:rPr>
          <w:rFonts w:asciiTheme="majorHAnsi" w:hAnsiTheme="majorHAnsi" w:cstheme="majorHAnsi"/>
          <w:sz w:val="22"/>
          <w:szCs w:val="22"/>
        </w:rPr>
        <w:t>Capítulo 3</w:t>
      </w:r>
      <w:r w:rsidR="00B829C8">
        <w:rPr>
          <w:rFonts w:asciiTheme="majorHAnsi" w:hAnsiTheme="majorHAnsi" w:cstheme="majorHAnsi"/>
          <w:sz w:val="22"/>
          <w:szCs w:val="22"/>
        </w:rPr>
        <w:t>. I</w:t>
      </w:r>
      <w:r w:rsidR="00B829C8" w:rsidRPr="00B829C8">
        <w:rPr>
          <w:rFonts w:asciiTheme="majorHAnsi" w:hAnsiTheme="majorHAnsi" w:cstheme="majorHAnsi"/>
          <w:sz w:val="22"/>
          <w:szCs w:val="22"/>
        </w:rPr>
        <w:t xml:space="preserve">maginarios </w:t>
      </w:r>
      <w:r w:rsidR="00B829C8">
        <w:rPr>
          <w:rFonts w:asciiTheme="majorHAnsi" w:hAnsiTheme="majorHAnsi" w:cstheme="majorHAnsi"/>
          <w:sz w:val="22"/>
          <w:szCs w:val="22"/>
        </w:rPr>
        <w:t>frente a</w:t>
      </w:r>
      <w:r w:rsidR="00B829C8" w:rsidRPr="00B829C8">
        <w:rPr>
          <w:rFonts w:asciiTheme="majorHAnsi" w:hAnsiTheme="majorHAnsi" w:cstheme="majorHAnsi"/>
          <w:sz w:val="22"/>
          <w:szCs w:val="22"/>
        </w:rPr>
        <w:t>l relacionamiento</w:t>
      </w:r>
      <w:r w:rsidR="00B829C8">
        <w:rPr>
          <w:rFonts w:asciiTheme="majorHAnsi" w:hAnsiTheme="majorHAnsi" w:cstheme="majorHAnsi"/>
          <w:sz w:val="22"/>
          <w:szCs w:val="22"/>
        </w:rPr>
        <w:t xml:space="preserve"> ejecutivo-legislativo</w:t>
      </w:r>
      <w:bookmarkEnd w:id="72"/>
    </w:p>
    <w:p w14:paraId="349D96DF" w14:textId="451DB326" w:rsidR="35310928" w:rsidRPr="00CD0C90" w:rsidRDefault="35310928" w:rsidP="00CD0C90">
      <w:pPr>
        <w:jc w:val="both"/>
        <w:rPr>
          <w:rFonts w:asciiTheme="majorHAnsi" w:hAnsiTheme="majorHAnsi" w:cstheme="majorHAnsi"/>
        </w:rPr>
      </w:pPr>
      <w:r w:rsidRPr="00CD0C90">
        <w:rPr>
          <w:rFonts w:asciiTheme="majorHAnsi" w:hAnsiTheme="majorHAnsi" w:cstheme="majorHAnsi"/>
        </w:rPr>
        <w:t>Este capítulo se orienta a identificar y proponer estrategias institucionales que fortalezcan el análisis estratégico legislativo, considerando el marco normativo vigente, las experiencias comparadas y las necesidades específicas de la política de transición energética justa. El propósito es demostrar que, mediante un diseño institucional más sólido, el Ministerio puede mejorar su capacidad de interlocución con el Congreso, reducir los costos de agenciamiento y acelerar la implementación de la política de transición energética justa.</w:t>
      </w:r>
    </w:p>
    <w:p w14:paraId="594DB19E" w14:textId="4E79C71A" w:rsidR="000552A5" w:rsidRPr="00CD0C90" w:rsidRDefault="00AD77F5" w:rsidP="00CD0C90">
      <w:pPr>
        <w:pStyle w:val="Ttulo2"/>
        <w:spacing w:line="276" w:lineRule="auto"/>
        <w:rPr>
          <w:rFonts w:asciiTheme="majorHAnsi" w:hAnsiTheme="majorHAnsi" w:cstheme="majorHAnsi"/>
          <w:sz w:val="22"/>
          <w:szCs w:val="22"/>
        </w:rPr>
      </w:pPr>
      <w:bookmarkStart w:id="73" w:name="_Toc234920384"/>
      <w:r w:rsidRPr="00CD0C90">
        <w:rPr>
          <w:rFonts w:asciiTheme="majorHAnsi" w:hAnsiTheme="majorHAnsi" w:cstheme="majorHAnsi"/>
          <w:sz w:val="22"/>
          <w:szCs w:val="22"/>
        </w:rPr>
        <w:t xml:space="preserve">3.1 </w:t>
      </w:r>
      <w:r w:rsidR="000552A5" w:rsidRPr="00CD0C90">
        <w:rPr>
          <w:rFonts w:asciiTheme="majorHAnsi" w:hAnsiTheme="majorHAnsi" w:cstheme="majorHAnsi"/>
          <w:sz w:val="22"/>
          <w:szCs w:val="22"/>
        </w:rPr>
        <w:t>Análisis grupo focal del sector minero energético</w:t>
      </w:r>
      <w:bookmarkEnd w:id="73"/>
    </w:p>
    <w:p w14:paraId="14A3DF54" w14:textId="69B393D6" w:rsidR="000552A5" w:rsidRPr="00CD0C90" w:rsidRDefault="00AD77F5" w:rsidP="00CD0C90">
      <w:pPr>
        <w:pStyle w:val="Ttulo3"/>
        <w:spacing w:line="276" w:lineRule="auto"/>
        <w:rPr>
          <w:rFonts w:asciiTheme="majorHAnsi" w:hAnsiTheme="majorHAnsi" w:cstheme="majorHAnsi"/>
          <w:sz w:val="22"/>
          <w:szCs w:val="22"/>
        </w:rPr>
      </w:pPr>
      <w:bookmarkStart w:id="74" w:name="_Toc234920385"/>
      <w:r w:rsidRPr="00CD0C90">
        <w:rPr>
          <w:rFonts w:asciiTheme="majorHAnsi" w:hAnsiTheme="majorHAnsi" w:cstheme="majorHAnsi"/>
          <w:sz w:val="22"/>
          <w:szCs w:val="22"/>
        </w:rPr>
        <w:t>3</w:t>
      </w:r>
      <w:r w:rsidR="000552A5" w:rsidRPr="00CD0C90">
        <w:rPr>
          <w:rFonts w:asciiTheme="majorHAnsi" w:hAnsiTheme="majorHAnsi" w:cstheme="majorHAnsi"/>
          <w:sz w:val="22"/>
          <w:szCs w:val="22"/>
        </w:rPr>
        <w:t>.1. Caracterización de la relación sector minero energético con el Congreso</w:t>
      </w:r>
      <w:bookmarkEnd w:id="74"/>
    </w:p>
    <w:p w14:paraId="6DBB66B0" w14:textId="77777777" w:rsidR="000552A5" w:rsidRPr="00CD0C90" w:rsidRDefault="000552A5"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 xml:space="preserve">El grupo focal muestra que la relación entre las entidades del sector minero energético y el Congreso se estructura sobre una lógica fuertemente reactiva, marcada por la “inmediatez” y la presión de solicitudes que se perciben como urgentes y únicas por parte de cada congresista. Esta dinámica genera una tensión organizacional, debido a que los equipos técnicos deben evacuar requerimientos bajo criterios de </w:t>
      </w:r>
      <w:r w:rsidRPr="00CD0C90">
        <w:rPr>
          <w:rFonts w:asciiTheme="majorHAnsi" w:hAnsiTheme="majorHAnsi" w:cstheme="majorHAnsi"/>
        </w:rPr>
        <w:lastRenderedPageBreak/>
        <w:t>antigüedad, prioridad política y complejidad temática al mismo tiempo, lo que limita la capacidad de planificación y profundización analítica. A pesar de ello, los participantes resaltan que, en términos interpersonales, la relación se mantiene cordial, apoyada en vínculos informales con equipos de los congresistas y unidades de trabajo legislativo.</w:t>
      </w:r>
    </w:p>
    <w:p w14:paraId="495F7196" w14:textId="77777777" w:rsidR="000552A5" w:rsidRPr="00CD0C90" w:rsidRDefault="000552A5"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Un hallazgo relevante es el desacople entre la demanda de información técnica por parte de los congresistas y su traducción en el debate legislativo. Desde la CREG se observa que las consultas realizadas son altamente técnicas y reflejan interés en el impacto nacional de las medidas del sector de energía y gas, sin embargo, estos insumos no se ven reflejados en las intervenciones ni en la deliberación parlamentaria. Lo anterior muestra que el vínculo actual funciona principalmente como un canal de provisión de información sectorial, más que como una estrategia de incidencia sobre la construcción de posiciones y marcos interpretativos en el Congreso.</w:t>
      </w:r>
    </w:p>
    <w:p w14:paraId="6D9566E0" w14:textId="0B3376E9" w:rsidR="000552A5" w:rsidRPr="00CD0C90" w:rsidRDefault="00AD77F5" w:rsidP="00CD0C90">
      <w:pPr>
        <w:pStyle w:val="Ttulo3"/>
        <w:spacing w:line="276" w:lineRule="auto"/>
        <w:rPr>
          <w:rFonts w:asciiTheme="majorHAnsi" w:hAnsiTheme="majorHAnsi" w:cstheme="majorHAnsi"/>
          <w:sz w:val="22"/>
          <w:szCs w:val="22"/>
        </w:rPr>
      </w:pPr>
      <w:bookmarkStart w:id="75" w:name="_Toc234920386"/>
      <w:r w:rsidRPr="00CD0C90">
        <w:rPr>
          <w:rFonts w:asciiTheme="majorHAnsi" w:hAnsiTheme="majorHAnsi" w:cstheme="majorHAnsi"/>
          <w:sz w:val="22"/>
          <w:szCs w:val="22"/>
        </w:rPr>
        <w:t>3</w:t>
      </w:r>
      <w:r w:rsidR="000552A5" w:rsidRPr="00CD0C90">
        <w:rPr>
          <w:rFonts w:asciiTheme="majorHAnsi" w:hAnsiTheme="majorHAnsi" w:cstheme="majorHAnsi"/>
          <w:sz w:val="22"/>
          <w:szCs w:val="22"/>
        </w:rPr>
        <w:t>.2. Fragmentación institucional y falta de coherencia discursiva</w:t>
      </w:r>
      <w:bookmarkEnd w:id="75"/>
    </w:p>
    <w:p w14:paraId="179881FC" w14:textId="77777777" w:rsidR="000552A5" w:rsidRPr="00CD0C90" w:rsidRDefault="000552A5"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Los representantes de las entidades del sector señalan que existen problemas sistemáticos de coordinación intra</w:t>
      </w:r>
      <w:r w:rsidRPr="00CD0C90">
        <w:rPr>
          <w:rFonts w:asciiTheme="majorHAnsi" w:hAnsiTheme="majorHAnsi" w:cstheme="majorHAnsi"/>
        </w:rPr>
        <w:noBreakHyphen/>
        <w:t>sectorial e intersectorial en el relacionamiento con el Congreso. Las entidades reportan que un mismo congresista suele oficiar sobre temas similares a distintas instituciones del sector minero energético e incluso a entidades del sector ambiental, generando riesgos de respuestas divergentes frente a una misma problemática. En este escenario, la ausencia de mecanismos robustos de articulación entre enlaces legislativos puede llevar a que el Ministerio, las agencias y otras entidades ofrezcan respuestas con tonos y énfasis distintos, afectando la consistencia del mensaje político y, por ende, gubernamental.</w:t>
      </w:r>
    </w:p>
    <w:p w14:paraId="50BF5585" w14:textId="77777777" w:rsidR="000552A5" w:rsidRPr="00CD0C90" w:rsidRDefault="000552A5"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Además, se mencionan casos en los que los congresistas utilizan estratégicamente la intersectorialidad (por ejemplo, MinMinas y MinAgricultura) para provocar quiebres en las respuestas institucionales y explotar diferencias de enfoque entre ministerios. Esta situación muestra que existe una debilidad en la construcción de un discurso sectorial unificado y que se requiere configurar una estrategia de coordinación que alinee conceptos, énfasis políticos y posicionamientos públicos antes de la interacción con el Congreso. El caso del proyecto de ley sobre maquinaria amarilla ilustra cómo, ante una iniciativa reiterativa y políticamente sensible, la ANM debe recurrir a MinDefensa y la SAE para intentar construir una postura estatal articulada, lo que muestra que los mecanismos de convergencia se generan más por esfuerzos puntuales que por procedimientos institucionalizados.</w:t>
      </w:r>
    </w:p>
    <w:p w14:paraId="5740B944" w14:textId="1935035C" w:rsidR="000552A5" w:rsidRPr="00CD0C90" w:rsidRDefault="000552A5" w:rsidP="00CD0C90">
      <w:pPr>
        <w:pStyle w:val="Ttulo3"/>
        <w:spacing w:line="276" w:lineRule="auto"/>
        <w:rPr>
          <w:rFonts w:asciiTheme="majorHAnsi" w:hAnsiTheme="majorHAnsi" w:cstheme="majorHAnsi"/>
          <w:sz w:val="22"/>
          <w:szCs w:val="22"/>
        </w:rPr>
      </w:pPr>
      <w:bookmarkStart w:id="76" w:name="_Toc234920387"/>
      <w:r w:rsidRPr="00CD0C90">
        <w:rPr>
          <w:rFonts w:asciiTheme="majorHAnsi" w:hAnsiTheme="majorHAnsi" w:cstheme="majorHAnsi"/>
          <w:sz w:val="22"/>
          <w:szCs w:val="22"/>
        </w:rPr>
        <w:t>3</w:t>
      </w:r>
      <w:r w:rsidR="00AD77F5" w:rsidRPr="00CD0C90">
        <w:rPr>
          <w:rFonts w:asciiTheme="majorHAnsi" w:hAnsiTheme="majorHAnsi" w:cstheme="majorHAnsi"/>
          <w:sz w:val="22"/>
          <w:szCs w:val="22"/>
        </w:rPr>
        <w:t>.3</w:t>
      </w:r>
      <w:r w:rsidRPr="00CD0C90">
        <w:rPr>
          <w:rFonts w:asciiTheme="majorHAnsi" w:hAnsiTheme="majorHAnsi" w:cstheme="majorHAnsi"/>
          <w:sz w:val="22"/>
          <w:szCs w:val="22"/>
        </w:rPr>
        <w:t xml:space="preserve"> Prácticas actuales de análisis legislativo: monitoreo sin densidad estratégica</w:t>
      </w:r>
      <w:bookmarkEnd w:id="76"/>
    </w:p>
    <w:p w14:paraId="69103965" w14:textId="77777777" w:rsidR="000552A5" w:rsidRPr="00CD0C90" w:rsidRDefault="000552A5"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 xml:space="preserve">Las entidades participantes también han desarrollado prácticas de análisis legislativo centradas principalmente en el monitoreo de proyectos y el cumplimiento de requerimientos formales, las cuales han tenido resultados exitosos. La UPME reporta la realización de mapeos semanales de proyectos, acompañados de desgloses generales y conceptos técnicos de expertos en transición energética, con el fin de no ser “tomados fuera de base”. La ANM hace énfasis en la importancia del seguimiento a la radicación </w:t>
      </w:r>
      <w:r w:rsidRPr="00CD0C90">
        <w:rPr>
          <w:rFonts w:asciiTheme="majorHAnsi" w:hAnsiTheme="majorHAnsi" w:cstheme="majorHAnsi"/>
        </w:rPr>
        <w:lastRenderedPageBreak/>
        <w:t>de proyectos, sesiones legislativas y proposiciones, así como la respuesta oportuna a derechos de petición y consultas técnicas.</w:t>
      </w:r>
    </w:p>
    <w:p w14:paraId="2E76D3C6" w14:textId="77777777" w:rsidR="000552A5" w:rsidRPr="00CD0C90" w:rsidRDefault="000552A5"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Cabe aclarar que, para el caso de Ecopetrol, la entidad realiza un procedimiento distinto en tanto recurre al apoyo de una firma externa para el seguimiento al Congreso y produce insumos de análisis que se canalizan institucionalmente a través del Ministerio de Minas y Energía, debido a que, entre sus prohibiciones normativas se encuentra la actividad de lobby directo.</w:t>
      </w:r>
    </w:p>
    <w:p w14:paraId="1FA724FA" w14:textId="77777777" w:rsidR="000552A5" w:rsidRPr="00CD0C90" w:rsidRDefault="000552A5"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No obstante, más allá del monitoreo y la respuesta, el desarrollo de capacidades de anticipación es un esfuerzo individual que podría convertirse en una actividad personalista al no traducirse en un ejercicio institucionalizado para cada entidad dentro del sector. La ANM destaca como práctica exitosa la estrategia de informar proactivamente a las bancadas sobre actividades de la entidad en territorio, lo que permite que los congresistas se apropien de esos temas y los utilicen políticamente. Esta experiencia sugiere un potencial para evolucionar hacia un análisis legislativo que no sólo reaccione a la agenda parlamentaria, sino que también contribuya a configurar narrativas y alianzas alrededor de la política de transición energética justa. Sin embargo, el carácter aislado de estas iniciativas indica que aún no se integran en una estrategia sectorial coherente.</w:t>
      </w:r>
    </w:p>
    <w:p w14:paraId="6A4260B0" w14:textId="567EF5B0" w:rsidR="000552A5" w:rsidRPr="00CD0C90" w:rsidRDefault="00AD77F5" w:rsidP="00CD0C90">
      <w:pPr>
        <w:pStyle w:val="Ttulo3"/>
        <w:spacing w:line="276" w:lineRule="auto"/>
        <w:rPr>
          <w:rFonts w:asciiTheme="majorHAnsi" w:hAnsiTheme="majorHAnsi" w:cstheme="majorHAnsi"/>
          <w:sz w:val="22"/>
          <w:szCs w:val="22"/>
        </w:rPr>
      </w:pPr>
      <w:bookmarkStart w:id="77" w:name="_Toc234920388"/>
      <w:r w:rsidRPr="00CD0C90">
        <w:rPr>
          <w:rFonts w:asciiTheme="majorHAnsi" w:hAnsiTheme="majorHAnsi" w:cstheme="majorHAnsi"/>
          <w:sz w:val="22"/>
          <w:szCs w:val="22"/>
        </w:rPr>
        <w:t>3</w:t>
      </w:r>
      <w:r w:rsidR="000552A5" w:rsidRPr="00CD0C90">
        <w:rPr>
          <w:rFonts w:asciiTheme="majorHAnsi" w:hAnsiTheme="majorHAnsi" w:cstheme="majorHAnsi"/>
          <w:sz w:val="22"/>
          <w:szCs w:val="22"/>
        </w:rPr>
        <w:t>.4 Mecanismos que facilitan la interlocución: contención y microgestión</w:t>
      </w:r>
      <w:bookmarkEnd w:id="77"/>
    </w:p>
    <w:p w14:paraId="0F841FED" w14:textId="77777777" w:rsidR="000552A5" w:rsidRPr="00CD0C90" w:rsidRDefault="000552A5"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Los factores identificados como facilitadores de la interlocución con el Congreso se orientan fundamentalmente a la gestión táctica de la relación. Los actores destacan la importancia de la voluntad política de los congresistas para impulsar proyectos y mantenerlos en movimiento, así como la necesidad de conversaciones fluidas con sus equipos, considerados como actores clave en la tramitación de iniciativas. Las entidades coinciden en que la respuesta rápida a solicitudes de menor complejidad, mediante reuniones virtuales o mesas técnicas es muy efectiva para “aplacar” temas que podrían escalar hacia proposiciones o citaciones a debates de control político.</w:t>
      </w:r>
    </w:p>
    <w:p w14:paraId="5AC96E5C" w14:textId="77777777" w:rsidR="000552A5" w:rsidRPr="00CD0C90" w:rsidRDefault="000552A5"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Adicionalmente, la CREG resalta la importancia de enviar información y excusas a tiempo, acompañadas de comunicación previa con los congresistas, como señal de que la entidad otorga importancia a los asuntos planteados. Estas prácticas configuran una lógica de microgestión y contención temprana de posibles conflictos legislativos, orientada más a evitar costos políticos y reputacionales que a aprovechar ventanas de oportunidad para consolidar la agenda de transición energética justa. En este sentido, el análisis legislativo existente dentro de las entidades del sector se utiliza principalmente para administrar riesgos y no para maximizar capacidades de incidencia en la agenda legislativa.</w:t>
      </w:r>
    </w:p>
    <w:p w14:paraId="7C9BA027" w14:textId="4B0873D3" w:rsidR="000552A5" w:rsidRPr="00CD0C90" w:rsidRDefault="00AD77F5" w:rsidP="00CD0C90">
      <w:pPr>
        <w:pStyle w:val="Ttulo3"/>
        <w:spacing w:line="276" w:lineRule="auto"/>
        <w:rPr>
          <w:rFonts w:asciiTheme="majorHAnsi" w:hAnsiTheme="majorHAnsi" w:cstheme="majorHAnsi"/>
          <w:sz w:val="22"/>
          <w:szCs w:val="22"/>
        </w:rPr>
      </w:pPr>
      <w:bookmarkStart w:id="78" w:name="_Toc234920389"/>
      <w:r w:rsidRPr="00CD0C90">
        <w:rPr>
          <w:rFonts w:asciiTheme="majorHAnsi" w:hAnsiTheme="majorHAnsi" w:cstheme="majorHAnsi"/>
          <w:sz w:val="22"/>
          <w:szCs w:val="22"/>
        </w:rPr>
        <w:t>3.</w:t>
      </w:r>
      <w:r w:rsidR="000552A5" w:rsidRPr="00CD0C90">
        <w:rPr>
          <w:rFonts w:asciiTheme="majorHAnsi" w:hAnsiTheme="majorHAnsi" w:cstheme="majorHAnsi"/>
          <w:sz w:val="22"/>
          <w:szCs w:val="22"/>
        </w:rPr>
        <w:t>5 Recomendaciones para fortalecer la estrategia institucional</w:t>
      </w:r>
      <w:bookmarkEnd w:id="78"/>
    </w:p>
    <w:p w14:paraId="795BE51C" w14:textId="77777777" w:rsidR="000552A5" w:rsidRPr="00CD0C90" w:rsidRDefault="000552A5"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 xml:space="preserve">Las propuestas de los participantes coinciden en la necesidad de evolucionar desde una gestión reactiva hacia una estrategia institucional más estructurada. Los representantes de las organizaciones plantean la </w:t>
      </w:r>
      <w:r w:rsidRPr="00CD0C90">
        <w:rPr>
          <w:rFonts w:asciiTheme="majorHAnsi" w:hAnsiTheme="majorHAnsi" w:cstheme="majorHAnsi"/>
        </w:rPr>
        <w:lastRenderedPageBreak/>
        <w:t>necesidad de crear espacios periódicos de diálogo con los congresistas y sus equipos para identificar prioridades en temas del sector y construir líneas de trabajo de largo plazo, así como reuniones de presentación del sector al inicio de cada legislatura, especialmente dirigidas a congresistas nuevos y a secretarios y subsecretarios de las comisiones. Sumado a ello, sugieren segmentar reuniones de seguimiento por ejes temáticos (minería, energía, gas) para mantener actualizadas a las entidades sobre la agenda legislativa.</w:t>
      </w:r>
    </w:p>
    <w:p w14:paraId="55716792" w14:textId="77777777" w:rsidR="000552A5" w:rsidRPr="00CD0C90" w:rsidRDefault="000552A5" w:rsidP="00CD0C90">
      <w:pPr>
        <w:pBdr>
          <w:top w:val="nil"/>
          <w:left w:val="nil"/>
          <w:bottom w:val="nil"/>
          <w:right w:val="nil"/>
          <w:between w:val="nil"/>
        </w:pBdr>
        <w:spacing w:before="240" w:after="0"/>
        <w:jc w:val="both"/>
        <w:rPr>
          <w:rFonts w:asciiTheme="majorHAnsi" w:hAnsiTheme="majorHAnsi" w:cstheme="majorHAnsi"/>
        </w:rPr>
      </w:pPr>
      <w:r w:rsidRPr="00CD0C90">
        <w:rPr>
          <w:rFonts w:asciiTheme="majorHAnsi" w:hAnsiTheme="majorHAnsi" w:cstheme="majorHAnsi"/>
        </w:rPr>
        <w:t>En el plano interinstitucional, el grupo focal se centró en la necesidad de consolidar alianzas con otros sectores (MinAmbiente, MinAgricultura, ANT) y con entidades territoriales y asociaciones (Fedemunicipios, Federación de departamentos, Asocapitales), con el fin de que el sector minero energético pueda presentar una oferta institucional clara y coordinada en espacios regionales, que también inciden en la agenda del Congreso. Estas recomendaciones muestran que los propios actores identifican como déficit crítico la falta de un diseño institucional que articule capacidades técnicas, políticas y territoriales en una estrategia de relacionamiento que acompañe el desarrollo de la transición energética justa.</w:t>
      </w:r>
    </w:p>
    <w:p w14:paraId="1F6E962B" w14:textId="64C049E0" w:rsidR="000552A5" w:rsidRDefault="000552A5" w:rsidP="00CD0C90">
      <w:pPr>
        <w:jc w:val="both"/>
        <w:rPr>
          <w:rFonts w:asciiTheme="majorHAnsi" w:hAnsiTheme="majorHAnsi" w:cstheme="majorHAnsi"/>
        </w:rPr>
      </w:pPr>
    </w:p>
    <w:p w14:paraId="3FDF1501" w14:textId="0E5DDF9D" w:rsidR="003003CA" w:rsidRPr="00CD0C90" w:rsidRDefault="003003CA" w:rsidP="003003CA">
      <w:pPr>
        <w:pStyle w:val="Ttulo1"/>
      </w:pPr>
      <w:bookmarkStart w:id="79" w:name="_Toc234920390"/>
      <w:r>
        <w:t>Capítulo 4. Propuesta de e</w:t>
      </w:r>
      <w:r w:rsidRPr="003003CA">
        <w:t>strategia institucional</w:t>
      </w:r>
      <w:r>
        <w:t xml:space="preserve"> de relacionamiento ejecutivo-legislativo</w:t>
      </w:r>
      <w:bookmarkEnd w:id="79"/>
    </w:p>
    <w:p w14:paraId="06F1F24A" w14:textId="7C4D12FC" w:rsidR="000552A5" w:rsidRPr="00CD0C90" w:rsidRDefault="001C2B56" w:rsidP="00CD0C90">
      <w:pPr>
        <w:jc w:val="both"/>
        <w:rPr>
          <w:rFonts w:asciiTheme="majorHAnsi" w:hAnsiTheme="majorHAnsi" w:cstheme="majorHAnsi"/>
        </w:rPr>
      </w:pPr>
      <w:r>
        <w:rPr>
          <w:rFonts w:asciiTheme="majorHAnsi" w:hAnsiTheme="majorHAnsi" w:cstheme="majorHAnsi"/>
        </w:rPr>
        <w:t>Este capítulo está</w:t>
      </w:r>
      <w:r w:rsidRPr="001C2B56">
        <w:rPr>
          <w:rFonts w:asciiTheme="majorHAnsi" w:hAnsiTheme="majorHAnsi" w:cstheme="majorHAnsi"/>
        </w:rPr>
        <w:t xml:space="preserve"> orientad</w:t>
      </w:r>
      <w:r>
        <w:rPr>
          <w:rFonts w:asciiTheme="majorHAnsi" w:hAnsiTheme="majorHAnsi" w:cstheme="majorHAnsi"/>
        </w:rPr>
        <w:t xml:space="preserve">o a la creación de una </w:t>
      </w:r>
      <w:r w:rsidR="003C35D3">
        <w:rPr>
          <w:rFonts w:asciiTheme="majorHAnsi" w:hAnsiTheme="majorHAnsi" w:cstheme="majorHAnsi"/>
        </w:rPr>
        <w:t>propuesta de lineamientos necesarios para</w:t>
      </w:r>
      <w:r>
        <w:rPr>
          <w:rFonts w:asciiTheme="majorHAnsi" w:hAnsiTheme="majorHAnsi" w:cstheme="majorHAnsi"/>
        </w:rPr>
        <w:t xml:space="preserve"> </w:t>
      </w:r>
      <w:r w:rsidR="003C35D3">
        <w:rPr>
          <w:rFonts w:asciiTheme="majorHAnsi" w:hAnsiTheme="majorHAnsi" w:cstheme="majorHAnsi"/>
        </w:rPr>
        <w:t>mejorar el</w:t>
      </w:r>
      <w:r>
        <w:rPr>
          <w:rFonts w:asciiTheme="majorHAnsi" w:hAnsiTheme="majorHAnsi" w:cstheme="majorHAnsi"/>
        </w:rPr>
        <w:t xml:space="preserve"> relacionamiento entre el ejecutivo y el legislativo, de cara al sector minero-energético,</w:t>
      </w:r>
      <w:r w:rsidRPr="001C2B56">
        <w:rPr>
          <w:rFonts w:asciiTheme="majorHAnsi" w:hAnsiTheme="majorHAnsi" w:cstheme="majorHAnsi"/>
        </w:rPr>
        <w:t xml:space="preserve"> </w:t>
      </w:r>
      <w:r>
        <w:rPr>
          <w:rFonts w:asciiTheme="majorHAnsi" w:hAnsiTheme="majorHAnsi" w:cstheme="majorHAnsi"/>
        </w:rPr>
        <w:t>que permita</w:t>
      </w:r>
      <w:r w:rsidRPr="001C2B56">
        <w:rPr>
          <w:rFonts w:asciiTheme="majorHAnsi" w:hAnsiTheme="majorHAnsi" w:cstheme="majorHAnsi"/>
        </w:rPr>
        <w:t xml:space="preserve"> fortalecer la coherencia y la densidad del análisis estratégico legislativo, mejorar la articulación con el Congreso y contribuir a acelerar el desarrollo de la política de transición energética justa</w:t>
      </w:r>
      <w:r w:rsidR="003C35D3">
        <w:rPr>
          <w:rFonts w:asciiTheme="majorHAnsi" w:hAnsiTheme="majorHAnsi" w:cstheme="majorHAnsi"/>
        </w:rPr>
        <w:t>, teniendo en cuenta los hallazgos identificados a lo largo de las etapas de esta investigación</w:t>
      </w:r>
    </w:p>
    <w:p w14:paraId="24C8C541" w14:textId="0C8AA0A1" w:rsidR="40ED3EE8" w:rsidRPr="00CD0C90" w:rsidRDefault="40ED3EE8" w:rsidP="00CD0C90">
      <w:pPr>
        <w:pStyle w:val="Ttulo1"/>
        <w:spacing w:line="276" w:lineRule="auto"/>
        <w:rPr>
          <w:rFonts w:asciiTheme="majorHAnsi" w:hAnsiTheme="majorHAnsi" w:cstheme="majorHAnsi"/>
          <w:sz w:val="22"/>
          <w:szCs w:val="22"/>
        </w:rPr>
      </w:pPr>
      <w:bookmarkStart w:id="80" w:name="_Toc234920391"/>
      <w:r w:rsidRPr="00CD0C90">
        <w:rPr>
          <w:rFonts w:asciiTheme="majorHAnsi" w:hAnsiTheme="majorHAnsi" w:cstheme="majorHAnsi"/>
          <w:sz w:val="22"/>
          <w:szCs w:val="22"/>
        </w:rPr>
        <w:t>Referencias</w:t>
      </w:r>
      <w:bookmarkEnd w:id="80"/>
    </w:p>
    <w:p w14:paraId="3F2B6712" w14:textId="687D0566" w:rsidR="50A2AFEA" w:rsidRPr="00CD0C90" w:rsidRDefault="50A2AFEA" w:rsidP="00CD0C90">
      <w:pPr>
        <w:jc w:val="both"/>
        <w:rPr>
          <w:rFonts w:asciiTheme="majorHAnsi" w:hAnsiTheme="majorHAnsi" w:cstheme="majorHAnsi"/>
        </w:rPr>
      </w:pPr>
      <w:r w:rsidRPr="00CD0C90">
        <w:rPr>
          <w:rFonts w:asciiTheme="majorHAnsi" w:hAnsiTheme="majorHAnsi" w:cstheme="majorHAnsi"/>
        </w:rPr>
        <w:t xml:space="preserve">Alzate, M. y Romo, G. (2017). La agenda pública en sus teorías y aproximaciones metodológicas. Una clasificación alternativa. Revista Enfoques: Ciencia Política y Administración Pública (15) 26, 13-35. </w:t>
      </w:r>
    </w:p>
    <w:p w14:paraId="3A548C9E" w14:textId="0F220B97" w:rsidR="50A2AFEA" w:rsidRPr="00CD0C90" w:rsidRDefault="50A2AFEA" w:rsidP="00CD0C90">
      <w:pPr>
        <w:jc w:val="both"/>
        <w:rPr>
          <w:rFonts w:asciiTheme="majorHAnsi" w:hAnsiTheme="majorHAnsi" w:cstheme="majorHAnsi"/>
        </w:rPr>
      </w:pPr>
      <w:r w:rsidRPr="00CD0C90">
        <w:rPr>
          <w:rFonts w:asciiTheme="majorHAnsi" w:hAnsiTheme="majorHAnsi" w:cstheme="majorHAnsi"/>
        </w:rPr>
        <w:t xml:space="preserve">Arias, X. y Caballero, G. (2003). Instituciones, costos de transacción y políticas públicas: un panorama. Revista de Economía Institucional, 5(8): 117-146. ISSN 0124-5996. Disponible en: https://www.investigo.biblioteca.uvigo.es/xmlui/bitstream/handle/11093/7573/2003_caballero_instituciones_costos.pdf?sequence=4&amp;isAllowed=y  </w:t>
      </w:r>
    </w:p>
    <w:p w14:paraId="52A8F911" w14:textId="5C38135B" w:rsidR="50A2AFEA" w:rsidRPr="00CD0C90" w:rsidRDefault="50A2AFEA" w:rsidP="00CD0C90">
      <w:pPr>
        <w:jc w:val="both"/>
        <w:rPr>
          <w:rFonts w:asciiTheme="majorHAnsi" w:hAnsiTheme="majorHAnsi" w:cstheme="majorHAnsi"/>
        </w:rPr>
      </w:pPr>
      <w:r w:rsidRPr="00CD0C90">
        <w:rPr>
          <w:rFonts w:asciiTheme="majorHAnsi" w:hAnsiTheme="majorHAnsi" w:cstheme="majorHAnsi"/>
        </w:rPr>
        <w:lastRenderedPageBreak/>
        <w:t xml:space="preserve">Barbosa, O. (2026). Relaciones intergubernamentales en Colombia, en: Cuadernos de administración. Universidad del Valle, No. 36-37, pp. 187 – 221. Disponible en: https://bibliotecadigital.univalle.edu.co/entities/publication/06291c0f-3b09-434b-a7c0-3449e43b575f </w:t>
      </w:r>
    </w:p>
    <w:p w14:paraId="42DE1F12" w14:textId="77777777" w:rsidR="006255C9" w:rsidRPr="00CD0C90" w:rsidRDefault="006255C9" w:rsidP="00CD0C90">
      <w:pPr>
        <w:pBdr>
          <w:top w:val="nil"/>
          <w:left w:val="nil"/>
          <w:bottom w:val="nil"/>
          <w:right w:val="nil"/>
          <w:between w:val="nil"/>
        </w:pBdr>
        <w:spacing w:before="240" w:after="0"/>
        <w:jc w:val="both"/>
        <w:rPr>
          <w:rFonts w:asciiTheme="majorHAnsi" w:hAnsiTheme="majorHAnsi" w:cstheme="majorHAnsi"/>
          <w:color w:val="000000" w:themeColor="text1"/>
        </w:rPr>
      </w:pPr>
      <w:r w:rsidRPr="00CD0C90">
        <w:rPr>
          <w:rFonts w:asciiTheme="majorHAnsi" w:hAnsiTheme="majorHAnsi" w:cstheme="majorHAnsi"/>
          <w:color w:val="000000" w:themeColor="text1"/>
        </w:rPr>
        <w:t xml:space="preserve">Bertranou, J. (2015). Capacidad estatal: Revisión del concepto y algunos ejes de análisis y debate. Revista Estado y Políticas Públicas, (4), 37-59. </w:t>
      </w:r>
    </w:p>
    <w:p w14:paraId="5F6D1491" w14:textId="77777777" w:rsidR="006255C9" w:rsidRPr="00CD0C90" w:rsidRDefault="006255C9" w:rsidP="00CD0C90">
      <w:pPr>
        <w:pBdr>
          <w:top w:val="nil"/>
          <w:left w:val="nil"/>
          <w:bottom w:val="nil"/>
          <w:right w:val="nil"/>
          <w:between w:val="nil"/>
        </w:pBdr>
        <w:spacing w:before="240" w:after="0"/>
        <w:jc w:val="both"/>
        <w:rPr>
          <w:rFonts w:asciiTheme="majorHAnsi" w:hAnsiTheme="majorHAnsi" w:cstheme="majorHAnsi"/>
          <w:color w:val="000000" w:themeColor="text1"/>
        </w:rPr>
      </w:pPr>
      <w:r w:rsidRPr="00CD0C90">
        <w:rPr>
          <w:rFonts w:asciiTheme="majorHAnsi" w:hAnsiTheme="majorHAnsi" w:cstheme="majorHAnsi"/>
          <w:color w:val="000000" w:themeColor="text1"/>
        </w:rPr>
        <w:t xml:space="preserve">Bloomberg Línea. (2024, junio 18). Nuevo revolcón ministerial: Los 15 cambios de ministros que ha hecho Petro en 22 meses. https://www.bloomberglinea.com/latinoamerica/colombia/nuevo-revolcon-ministerial-los-15-cambios-de-ministros-que-ha-hecho-petro-en-22-meses/ </w:t>
      </w:r>
    </w:p>
    <w:p w14:paraId="6E1BFFCD" w14:textId="77777777" w:rsidR="006255C9" w:rsidRPr="00CD0C90" w:rsidRDefault="006255C9" w:rsidP="00CD0C90">
      <w:pPr>
        <w:pBdr>
          <w:top w:val="nil"/>
          <w:left w:val="nil"/>
          <w:bottom w:val="nil"/>
          <w:right w:val="nil"/>
          <w:between w:val="nil"/>
        </w:pBdr>
        <w:spacing w:before="240" w:after="0"/>
        <w:jc w:val="both"/>
        <w:rPr>
          <w:rFonts w:asciiTheme="majorHAnsi" w:hAnsiTheme="majorHAnsi" w:cstheme="majorHAnsi"/>
          <w:color w:val="000000" w:themeColor="text1"/>
        </w:rPr>
      </w:pPr>
      <w:r w:rsidRPr="00CD0C90">
        <w:rPr>
          <w:rFonts w:asciiTheme="majorHAnsi" w:hAnsiTheme="majorHAnsi" w:cstheme="majorHAnsi"/>
          <w:color w:val="000000" w:themeColor="text1"/>
        </w:rPr>
        <w:t xml:space="preserve">CEPAL. (2024). Perspectivas del comercio internacional de América Latina y el Caribe. Naciones Unidas. </w:t>
      </w:r>
    </w:p>
    <w:p w14:paraId="6307A812" w14:textId="066D7D3F" w:rsidR="006255C9" w:rsidRPr="00CD0C90" w:rsidRDefault="006255C9" w:rsidP="00CD0C90">
      <w:pPr>
        <w:pBdr>
          <w:top w:val="nil"/>
          <w:left w:val="nil"/>
          <w:bottom w:val="nil"/>
          <w:right w:val="nil"/>
          <w:between w:val="nil"/>
        </w:pBdr>
        <w:spacing w:before="240" w:after="0"/>
        <w:jc w:val="both"/>
        <w:rPr>
          <w:rFonts w:asciiTheme="majorHAnsi" w:hAnsiTheme="majorHAnsi" w:cstheme="majorHAnsi"/>
          <w:color w:val="000000" w:themeColor="text1"/>
        </w:rPr>
      </w:pPr>
      <w:r w:rsidRPr="00CD0C90">
        <w:rPr>
          <w:rFonts w:asciiTheme="majorHAnsi" w:hAnsiTheme="majorHAnsi" w:cstheme="majorHAnsi"/>
          <w:color w:val="000000" w:themeColor="text1"/>
        </w:rPr>
        <w:t xml:space="preserve">CNN en Español. (2023, abril 26). Cómo se llegó a la ruptura entre Petro y su coalición en Colombia. https://cnnespanol.cnn.com/2023/04/26/como-se-llego-ruptura-petro-coalicion-colombia/ </w:t>
      </w:r>
    </w:p>
    <w:p w14:paraId="3C684200" w14:textId="316A941B" w:rsidR="006E1E21" w:rsidRPr="00CD0C90" w:rsidRDefault="006E1E21" w:rsidP="00CD0C90">
      <w:pPr>
        <w:spacing w:before="240"/>
        <w:jc w:val="both"/>
        <w:rPr>
          <w:rFonts w:asciiTheme="majorHAnsi" w:hAnsiTheme="majorHAnsi" w:cstheme="majorHAnsi"/>
        </w:rPr>
      </w:pPr>
      <w:r w:rsidRPr="00CD0C90">
        <w:rPr>
          <w:rFonts w:asciiTheme="majorHAnsi" w:hAnsiTheme="majorHAnsi" w:cstheme="majorHAnsi"/>
        </w:rPr>
        <w:t xml:space="preserve">Constituição da República Federativa do Brasil. (1988). https://www.planalto.gov.br/ccivil_03/constituicao/constituicao.htm </w:t>
      </w:r>
    </w:p>
    <w:p w14:paraId="4B119A53" w14:textId="3BCCD731" w:rsidR="50A2AFEA" w:rsidRPr="00CD0C90" w:rsidRDefault="50A2AFEA" w:rsidP="00CD0C90">
      <w:pPr>
        <w:jc w:val="both"/>
        <w:rPr>
          <w:rFonts w:asciiTheme="majorHAnsi" w:hAnsiTheme="majorHAnsi" w:cstheme="majorHAnsi"/>
        </w:rPr>
      </w:pPr>
      <w:r w:rsidRPr="00CD0C90">
        <w:rPr>
          <w:rFonts w:asciiTheme="majorHAnsi" w:hAnsiTheme="majorHAnsi" w:cstheme="majorHAnsi"/>
        </w:rPr>
        <w:t xml:space="preserve">Delgado-Guembes, C. (2020). La agenda legislativa como concepto y herramienta de planeamiento, dirección y gestión estratégica del proceso legislativo [Ensayo]. Disponible en: https://cdelgadoguembes.com/wp-content/uploads/2020/05/La-Agenda-Legislativa-como-concepto-y-herramienta-de-gestion-estrategica-del-proceso-legislativo.pdf  </w:t>
      </w:r>
    </w:p>
    <w:p w14:paraId="71F8C9F1" w14:textId="0F9A0325" w:rsidR="50A2AFEA" w:rsidRPr="00CD0C90" w:rsidRDefault="50A2AFEA" w:rsidP="00CD0C90">
      <w:pPr>
        <w:jc w:val="both"/>
        <w:rPr>
          <w:rFonts w:asciiTheme="majorHAnsi" w:hAnsiTheme="majorHAnsi" w:cstheme="majorHAnsi"/>
        </w:rPr>
      </w:pPr>
      <w:r w:rsidRPr="00CD0C90">
        <w:rPr>
          <w:rFonts w:asciiTheme="majorHAnsi" w:hAnsiTheme="majorHAnsi" w:cstheme="majorHAnsi"/>
        </w:rPr>
        <w:t xml:space="preserve">Departamento Nacional de Planeación (DNP). (S. f.). Recomendaciones para la inclusión de metas minero-energéticas para la transición energética justa en los planes de desarrollo territoriales. Disponible en: https://portalterritorial.dnp.gov.co/assets/documentosfase3/Minminas%20y%20Energ%C3%ADa-%20Recomendacionesen%20PDT.pdf  </w:t>
      </w:r>
    </w:p>
    <w:p w14:paraId="14A4C60C" w14:textId="44609C37" w:rsidR="006255C9" w:rsidRPr="00CD0C90" w:rsidRDefault="006255C9" w:rsidP="00CD0C90">
      <w:pPr>
        <w:pBdr>
          <w:top w:val="nil"/>
          <w:left w:val="nil"/>
          <w:bottom w:val="nil"/>
          <w:right w:val="nil"/>
          <w:between w:val="nil"/>
        </w:pBdr>
        <w:spacing w:before="240"/>
        <w:jc w:val="both"/>
        <w:rPr>
          <w:rFonts w:asciiTheme="majorHAnsi" w:hAnsiTheme="majorHAnsi" w:cstheme="majorHAnsi"/>
          <w:color w:val="000000" w:themeColor="text1"/>
        </w:rPr>
      </w:pPr>
      <w:r w:rsidRPr="00CD0C90">
        <w:rPr>
          <w:rFonts w:asciiTheme="majorHAnsi" w:hAnsiTheme="majorHAnsi" w:cstheme="majorHAnsi"/>
          <w:color w:val="000000" w:themeColor="text1"/>
        </w:rPr>
        <w:t xml:space="preserve">Figueiredo, A. C., &amp; Limongi, F. (2001). Executivo e </w:t>
      </w:r>
      <w:r w:rsidR="001D4B0A" w:rsidRPr="00CD0C90">
        <w:rPr>
          <w:rFonts w:asciiTheme="majorHAnsi" w:hAnsiTheme="majorHAnsi" w:cstheme="majorHAnsi"/>
          <w:color w:val="000000" w:themeColor="text1"/>
        </w:rPr>
        <w:t>legislativo</w:t>
      </w:r>
      <w:r w:rsidRPr="00CD0C90">
        <w:rPr>
          <w:rFonts w:asciiTheme="majorHAnsi" w:hAnsiTheme="majorHAnsi" w:cstheme="majorHAnsi"/>
          <w:color w:val="000000" w:themeColor="text1"/>
        </w:rPr>
        <w:t xml:space="preserve"> na nova ordem constitucional (2.ª ed.). FGV Editora. </w:t>
      </w:r>
    </w:p>
    <w:p w14:paraId="1A5E775B" w14:textId="3F4D2695" w:rsidR="006255C9" w:rsidRPr="00CD0C90" w:rsidRDefault="006255C9" w:rsidP="00CD0C90">
      <w:pPr>
        <w:pBdr>
          <w:top w:val="nil"/>
          <w:left w:val="nil"/>
          <w:bottom w:val="nil"/>
          <w:right w:val="nil"/>
          <w:between w:val="nil"/>
        </w:pBdr>
        <w:jc w:val="both"/>
        <w:rPr>
          <w:rFonts w:asciiTheme="majorHAnsi" w:hAnsiTheme="majorHAnsi" w:cstheme="majorHAnsi"/>
          <w:color w:val="000000" w:themeColor="text1"/>
          <w:lang w:val="en-US"/>
        </w:rPr>
      </w:pPr>
      <w:r w:rsidRPr="00CD0C90">
        <w:rPr>
          <w:rFonts w:asciiTheme="majorHAnsi" w:hAnsiTheme="majorHAnsi" w:cstheme="majorHAnsi"/>
          <w:color w:val="000000" w:themeColor="text1"/>
        </w:rPr>
        <w:t xml:space="preserve">Figueiredo, A. C., &amp; Limongi, F. (2010). Política orçamentária no presidencialismo de coalizão. </w:t>
      </w:r>
      <w:r w:rsidRPr="00CD0C90">
        <w:rPr>
          <w:rFonts w:asciiTheme="majorHAnsi" w:hAnsiTheme="majorHAnsi" w:cstheme="majorHAnsi"/>
          <w:color w:val="000000" w:themeColor="text1"/>
          <w:lang w:val="en-US"/>
        </w:rPr>
        <w:t xml:space="preserve">FGV Editora. </w:t>
      </w:r>
    </w:p>
    <w:p w14:paraId="14B5BD2F" w14:textId="2A1C4A63" w:rsidR="50A2AFEA" w:rsidRPr="00CD0C90" w:rsidRDefault="50A2AFEA" w:rsidP="00CD0C90">
      <w:pPr>
        <w:jc w:val="both"/>
        <w:rPr>
          <w:rFonts w:asciiTheme="majorHAnsi" w:hAnsiTheme="majorHAnsi" w:cstheme="majorHAnsi"/>
          <w:lang w:val="en-US"/>
        </w:rPr>
      </w:pPr>
      <w:r w:rsidRPr="00CD0C90">
        <w:rPr>
          <w:rFonts w:asciiTheme="majorHAnsi" w:hAnsiTheme="majorHAnsi" w:cstheme="majorHAnsi"/>
          <w:lang w:val="en-US"/>
        </w:rPr>
        <w:t xml:space="preserve">Jenkins, William A. (1978). Policy Analysis: A Political and Organisational Perspective. Londres: Hutchinson &amp; Co. </w:t>
      </w:r>
    </w:p>
    <w:p w14:paraId="08A6ABB3" w14:textId="58479F45" w:rsidR="006E1E21" w:rsidRPr="00CD0C90" w:rsidRDefault="006E1E21" w:rsidP="00CD0C90">
      <w:pPr>
        <w:jc w:val="both"/>
        <w:rPr>
          <w:rFonts w:asciiTheme="majorHAnsi" w:hAnsiTheme="majorHAnsi" w:cstheme="majorHAnsi"/>
          <w:lang w:val="en-US"/>
        </w:rPr>
      </w:pPr>
      <w:r w:rsidRPr="00CD0C90">
        <w:rPr>
          <w:rFonts w:asciiTheme="majorHAnsi" w:hAnsiTheme="majorHAnsi" w:cstheme="majorHAnsi"/>
          <w:lang w:val="en-US"/>
        </w:rPr>
        <w:t xml:space="preserve">Jensen, M. C., &amp; Meckling, W. H. (1976). Theory of the firm: Managerial behavior, agency costs and ownership structure. Journal of Financial Economics, 3(4), 305-360. DOI: 10.1016/0304-405X(76)90026-X. </w:t>
      </w:r>
    </w:p>
    <w:p w14:paraId="13E4B08F" w14:textId="7C400A32" w:rsidR="50A2AFEA" w:rsidRPr="00CD0C90" w:rsidRDefault="50A2AFEA" w:rsidP="00CD0C90">
      <w:pPr>
        <w:jc w:val="both"/>
        <w:rPr>
          <w:rFonts w:asciiTheme="majorHAnsi" w:hAnsiTheme="majorHAnsi" w:cstheme="majorHAnsi"/>
        </w:rPr>
      </w:pPr>
      <w:r w:rsidRPr="00CD0C90">
        <w:rPr>
          <w:rFonts w:asciiTheme="majorHAnsi" w:hAnsiTheme="majorHAnsi" w:cstheme="majorHAnsi"/>
          <w:lang w:val="en-US"/>
        </w:rPr>
        <w:lastRenderedPageBreak/>
        <w:t xml:space="preserve">Juárez, M. A. (2023). </w:t>
      </w:r>
      <w:r w:rsidRPr="00CD0C90">
        <w:rPr>
          <w:rFonts w:asciiTheme="majorHAnsi" w:hAnsiTheme="majorHAnsi" w:cstheme="majorHAnsi"/>
        </w:rPr>
        <w:t xml:space="preserve">Consideraciones Teóricas-Metodológicas de la Relación </w:t>
      </w:r>
      <w:r w:rsidR="001D4B0A" w:rsidRPr="00CD0C90">
        <w:rPr>
          <w:rFonts w:asciiTheme="majorHAnsi" w:hAnsiTheme="majorHAnsi" w:cstheme="majorHAnsi"/>
        </w:rPr>
        <w:t>ejecutivo</w:t>
      </w:r>
      <w:r w:rsidRPr="00CD0C90">
        <w:rPr>
          <w:rFonts w:asciiTheme="majorHAnsi" w:hAnsiTheme="majorHAnsi" w:cstheme="majorHAnsi"/>
        </w:rPr>
        <w:t>-</w:t>
      </w:r>
      <w:r w:rsidR="001D4B0A" w:rsidRPr="00CD0C90">
        <w:rPr>
          <w:rFonts w:asciiTheme="majorHAnsi" w:hAnsiTheme="majorHAnsi" w:cstheme="majorHAnsi"/>
        </w:rPr>
        <w:t>legislativo</w:t>
      </w:r>
      <w:r w:rsidRPr="00CD0C90">
        <w:rPr>
          <w:rFonts w:asciiTheme="majorHAnsi" w:hAnsiTheme="majorHAnsi" w:cstheme="majorHAnsi"/>
        </w:rPr>
        <w:t xml:space="preserve"> en un Contexto de Gobierno Dividido. Ciencia Latina Revista Científica Multidisciplinar, 7(4), 2510-2524. https://doi.org/10.37811/cl_rcm.v7i4.7122 </w:t>
      </w:r>
    </w:p>
    <w:p w14:paraId="487E8B4F" w14:textId="77777777" w:rsidR="006255C9" w:rsidRPr="00CD0C90" w:rsidRDefault="006255C9" w:rsidP="00CD0C90">
      <w:pPr>
        <w:pBdr>
          <w:top w:val="nil"/>
          <w:left w:val="nil"/>
          <w:bottom w:val="nil"/>
          <w:right w:val="nil"/>
          <w:between w:val="nil"/>
        </w:pBdr>
        <w:spacing w:before="240" w:after="0"/>
        <w:jc w:val="both"/>
        <w:rPr>
          <w:rFonts w:asciiTheme="majorHAnsi" w:hAnsiTheme="majorHAnsi" w:cstheme="majorHAnsi"/>
          <w:color w:val="000000" w:themeColor="text1"/>
        </w:rPr>
      </w:pPr>
      <w:r w:rsidRPr="00CD0C90">
        <w:rPr>
          <w:rFonts w:asciiTheme="majorHAnsi" w:hAnsiTheme="majorHAnsi" w:cstheme="majorHAnsi"/>
          <w:color w:val="000000" w:themeColor="text1"/>
          <w:lang w:val="en-US"/>
        </w:rPr>
        <w:t xml:space="preserve">IEA – International Energy Agency. (2021). Spain 2021 Energy Policy Review. </w:t>
      </w:r>
      <w:r w:rsidRPr="00CD0C90">
        <w:rPr>
          <w:rFonts w:asciiTheme="majorHAnsi" w:hAnsiTheme="majorHAnsi" w:cstheme="majorHAnsi"/>
          <w:color w:val="000000" w:themeColor="text1"/>
        </w:rPr>
        <w:t xml:space="preserve">OECD/IEA. </w:t>
      </w:r>
    </w:p>
    <w:p w14:paraId="39B3274C" w14:textId="77777777" w:rsidR="006255C9" w:rsidRPr="00CD0C90" w:rsidRDefault="006255C9" w:rsidP="00CD0C90">
      <w:pPr>
        <w:pBdr>
          <w:top w:val="nil"/>
          <w:left w:val="nil"/>
          <w:bottom w:val="nil"/>
          <w:right w:val="nil"/>
          <w:between w:val="nil"/>
        </w:pBdr>
        <w:spacing w:before="240" w:after="0"/>
        <w:jc w:val="both"/>
        <w:rPr>
          <w:rFonts w:asciiTheme="majorHAnsi" w:hAnsiTheme="majorHAnsi" w:cstheme="majorHAnsi"/>
          <w:color w:val="000000" w:themeColor="text1"/>
        </w:rPr>
      </w:pPr>
      <w:r w:rsidRPr="00CD0C90">
        <w:rPr>
          <w:rFonts w:asciiTheme="majorHAnsi" w:hAnsiTheme="majorHAnsi" w:cstheme="majorHAnsi"/>
          <w:color w:val="000000" w:themeColor="text1"/>
        </w:rPr>
        <w:t xml:space="preserve">IEA – International Energy Agency. (2023). Colombia 2023 Energy Policy Review. OECD/IEA. </w:t>
      </w:r>
    </w:p>
    <w:p w14:paraId="2CBA3BBC" w14:textId="59DB9D0B" w:rsidR="006255C9" w:rsidRPr="00CD0C90" w:rsidRDefault="006255C9" w:rsidP="00CD0C90">
      <w:pPr>
        <w:pBdr>
          <w:top w:val="nil"/>
          <w:left w:val="nil"/>
          <w:bottom w:val="nil"/>
          <w:right w:val="nil"/>
          <w:between w:val="nil"/>
        </w:pBdr>
        <w:jc w:val="both"/>
        <w:rPr>
          <w:rFonts w:asciiTheme="majorHAnsi" w:hAnsiTheme="majorHAnsi" w:cstheme="majorHAnsi"/>
          <w:color w:val="000000" w:themeColor="text1"/>
        </w:rPr>
      </w:pPr>
      <w:r w:rsidRPr="00CD0C90">
        <w:rPr>
          <w:rFonts w:asciiTheme="majorHAnsi" w:hAnsiTheme="majorHAnsi" w:cstheme="majorHAnsi"/>
          <w:color w:val="000000" w:themeColor="text1"/>
        </w:rPr>
        <w:t xml:space="preserve">Infobae. (2025, agosto 7). Gustavo Petro impuso marca histórica: Van 57 ministros en sus tres años de gobierno. https://www.infobae.com/colombia/2025/08/07/gustavo-petro-impuso-marca-historica-van-57-ministros-en-sus-tres-anos-de-gobierno/ </w:t>
      </w:r>
    </w:p>
    <w:p w14:paraId="11E588C6" w14:textId="1D03900E" w:rsidR="50A2AFEA" w:rsidRPr="00CD0C90" w:rsidRDefault="50A2AFEA" w:rsidP="00CD0C90">
      <w:pPr>
        <w:jc w:val="both"/>
        <w:rPr>
          <w:rFonts w:asciiTheme="majorHAnsi" w:hAnsiTheme="majorHAnsi" w:cstheme="majorHAnsi"/>
        </w:rPr>
      </w:pPr>
      <w:r w:rsidRPr="00CD0C90">
        <w:rPr>
          <w:rFonts w:asciiTheme="majorHAnsi" w:hAnsiTheme="majorHAnsi" w:cstheme="majorHAnsi"/>
          <w:lang w:val="en-US"/>
        </w:rPr>
        <w:t xml:space="preserve">Kingdon, John W. (2011). Agendas, Alternatives, and Public Policies (2nd Edition, Longman Classics in Political Science). </w:t>
      </w:r>
      <w:r w:rsidRPr="00CD0C90">
        <w:rPr>
          <w:rFonts w:asciiTheme="majorHAnsi" w:hAnsiTheme="majorHAnsi" w:cstheme="majorHAnsi"/>
        </w:rPr>
        <w:t xml:space="preserve">Boston: Longman. ISBN: 978-0205000869. </w:t>
      </w:r>
    </w:p>
    <w:p w14:paraId="371BC455" w14:textId="460EEC1F" w:rsidR="006255C9" w:rsidRPr="00CD0C90" w:rsidRDefault="006255C9" w:rsidP="00CD0C90">
      <w:pPr>
        <w:pBdr>
          <w:top w:val="nil"/>
          <w:left w:val="nil"/>
          <w:bottom w:val="nil"/>
          <w:right w:val="nil"/>
          <w:between w:val="nil"/>
        </w:pBdr>
        <w:spacing w:before="240"/>
        <w:jc w:val="both"/>
        <w:rPr>
          <w:rFonts w:asciiTheme="majorHAnsi" w:hAnsiTheme="majorHAnsi" w:cstheme="majorHAnsi"/>
          <w:color w:val="000000" w:themeColor="text1"/>
        </w:rPr>
      </w:pPr>
      <w:r w:rsidRPr="00CD0C90">
        <w:rPr>
          <w:rFonts w:asciiTheme="majorHAnsi" w:hAnsiTheme="majorHAnsi" w:cstheme="majorHAnsi"/>
          <w:color w:val="000000" w:themeColor="text1"/>
        </w:rPr>
        <w:t xml:space="preserve">Liga Contra el Silencio. (2018, agosto 23). El agridulce imperio del Congreso de Colombia. https://ligacontraelsilencio.com/2018/08/23/el-agridulce-imperio-del-congreso-de-colombia/ </w:t>
      </w:r>
    </w:p>
    <w:p w14:paraId="061B9ADD" w14:textId="3F86F2C2" w:rsidR="50A2AFEA" w:rsidRPr="00CD0C90" w:rsidRDefault="50A2AFEA" w:rsidP="00CD0C90">
      <w:pPr>
        <w:jc w:val="both"/>
        <w:rPr>
          <w:rFonts w:asciiTheme="majorHAnsi" w:hAnsiTheme="majorHAnsi" w:cstheme="majorHAnsi"/>
        </w:rPr>
      </w:pPr>
      <w:r w:rsidRPr="00CD0C90">
        <w:rPr>
          <w:rFonts w:asciiTheme="majorHAnsi" w:hAnsiTheme="majorHAnsi" w:cstheme="majorHAnsi"/>
        </w:rPr>
        <w:t xml:space="preserve">López, G. y Gómez, C. (2011). El control político y judicial del Congreso: una aproximación al caso colombiano. Revista Pielagus, Universidad Surcolombiana. Revista Jurídica Piélagus, 10(1), 158–191. https://doi.org/10.25054/16576799.630  </w:t>
      </w:r>
    </w:p>
    <w:p w14:paraId="21563BD9" w14:textId="5CBED3D6" w:rsidR="006255C9" w:rsidRPr="00CD0C90" w:rsidRDefault="006255C9" w:rsidP="00CD0C90">
      <w:pPr>
        <w:pBdr>
          <w:top w:val="nil"/>
          <w:left w:val="nil"/>
          <w:bottom w:val="nil"/>
          <w:right w:val="nil"/>
          <w:between w:val="nil"/>
        </w:pBdr>
        <w:jc w:val="both"/>
        <w:rPr>
          <w:rFonts w:asciiTheme="majorHAnsi" w:hAnsiTheme="majorHAnsi" w:cstheme="majorHAnsi"/>
          <w:color w:val="000000" w:themeColor="text1"/>
        </w:rPr>
      </w:pPr>
      <w:r w:rsidRPr="00CD0C90">
        <w:rPr>
          <w:rFonts w:asciiTheme="majorHAnsi" w:hAnsiTheme="majorHAnsi" w:cstheme="majorHAnsi"/>
          <w:color w:val="000000" w:themeColor="text1"/>
          <w:lang w:val="en-US"/>
        </w:rPr>
        <w:t xml:space="preserve">Mainwaring, S. (1993). Presidentialism, multipartism, and democracy: The difficult combination. </w:t>
      </w:r>
      <w:r w:rsidRPr="00CD0C90">
        <w:rPr>
          <w:rFonts w:asciiTheme="majorHAnsi" w:hAnsiTheme="majorHAnsi" w:cstheme="majorHAnsi"/>
          <w:color w:val="000000" w:themeColor="text1"/>
        </w:rPr>
        <w:t xml:space="preserve">Comparative Political Studies, 26(2), 198-228. https://doi.org/10.1177/0010414093026002003 </w:t>
      </w:r>
    </w:p>
    <w:p w14:paraId="7AFAC5AD" w14:textId="45852E83" w:rsidR="006E1E21" w:rsidRPr="00CD0C90" w:rsidRDefault="006E1E21" w:rsidP="00CD0C90">
      <w:pPr>
        <w:jc w:val="both"/>
        <w:rPr>
          <w:rFonts w:asciiTheme="majorHAnsi" w:hAnsiTheme="majorHAnsi" w:cstheme="majorHAnsi"/>
        </w:rPr>
      </w:pPr>
      <w:r w:rsidRPr="00CD0C90">
        <w:rPr>
          <w:rFonts w:asciiTheme="majorHAnsi" w:hAnsiTheme="majorHAnsi" w:cstheme="majorHAnsi"/>
        </w:rPr>
        <w:t xml:space="preserve">Ministério de Minas e Energia. (2024). Política Nacional de Transição Energética (PNTE) 2050. Empresa de Pesquisa Energética. Disponible en: https://www.gov.br/mme/pt-br/assuntos/secretarias/sntep/dte/cgate/pnte </w:t>
      </w:r>
    </w:p>
    <w:p w14:paraId="6531EDCF" w14:textId="77777777" w:rsidR="006255C9" w:rsidRPr="00CD0C90" w:rsidRDefault="006255C9" w:rsidP="00CD0C90">
      <w:pPr>
        <w:pBdr>
          <w:top w:val="nil"/>
          <w:left w:val="nil"/>
          <w:bottom w:val="nil"/>
          <w:right w:val="nil"/>
          <w:between w:val="nil"/>
        </w:pBdr>
        <w:spacing w:before="240"/>
        <w:jc w:val="both"/>
        <w:rPr>
          <w:rFonts w:asciiTheme="majorHAnsi" w:hAnsiTheme="majorHAnsi" w:cstheme="majorHAnsi"/>
          <w:color w:val="000000" w:themeColor="text1"/>
        </w:rPr>
      </w:pPr>
      <w:r w:rsidRPr="00CD0C90">
        <w:rPr>
          <w:rFonts w:asciiTheme="majorHAnsi" w:hAnsiTheme="majorHAnsi" w:cstheme="majorHAnsi"/>
          <w:color w:val="000000" w:themeColor="text1"/>
        </w:rPr>
        <w:t xml:space="preserve">Ministerio de Minas y Energía [MME]. (s. f.). Método relacionamiento legislativo sector minero energético. Documento interno. Ministerio de Minas y Energía de Colombia. </w:t>
      </w:r>
    </w:p>
    <w:p w14:paraId="4377C79F" w14:textId="22F82340" w:rsidR="006255C9" w:rsidRPr="00CD0C90" w:rsidRDefault="006255C9" w:rsidP="00CD0C90">
      <w:pPr>
        <w:pBdr>
          <w:top w:val="nil"/>
          <w:left w:val="nil"/>
          <w:bottom w:val="nil"/>
          <w:right w:val="nil"/>
          <w:between w:val="nil"/>
        </w:pBdr>
        <w:spacing w:before="240"/>
        <w:jc w:val="both"/>
        <w:rPr>
          <w:rFonts w:asciiTheme="majorHAnsi" w:hAnsiTheme="majorHAnsi" w:cstheme="majorHAnsi"/>
          <w:color w:val="000000" w:themeColor="text1"/>
        </w:rPr>
      </w:pPr>
      <w:r w:rsidRPr="00CD0C90">
        <w:rPr>
          <w:rFonts w:asciiTheme="majorHAnsi" w:hAnsiTheme="majorHAnsi" w:cstheme="majorHAnsi"/>
          <w:color w:val="000000" w:themeColor="text1"/>
        </w:rPr>
        <w:t xml:space="preserve">Ministerio de Minas y Energía [MME]. (2024). Diagnóstico base para la Transición Energética Justa. https://www.minenergia.gov.co/documents/12591/DIAGNÓSTICO_BASE_PARA_LA_TRANSICIÓN_ENERGÉTICA_JUSTA_-_2024.pdf </w:t>
      </w:r>
    </w:p>
    <w:p w14:paraId="2A709663" w14:textId="03A747BD" w:rsidR="006E1E21" w:rsidRPr="00CD0C90" w:rsidRDefault="50A2AFEA" w:rsidP="00CD0C90">
      <w:pPr>
        <w:jc w:val="both"/>
        <w:rPr>
          <w:rFonts w:asciiTheme="majorHAnsi" w:hAnsiTheme="majorHAnsi" w:cstheme="majorHAnsi"/>
        </w:rPr>
      </w:pPr>
      <w:r w:rsidRPr="00CD0C90">
        <w:rPr>
          <w:rFonts w:asciiTheme="majorHAnsi" w:hAnsiTheme="majorHAnsi" w:cstheme="majorHAnsi"/>
        </w:rPr>
        <w:t xml:space="preserve">Ministerio de Minas y Energía. (2025). Hoja de Ruta para la Transición Energética Justa de Colombia. Disponible en: https://minenergia.gov.co/documents/13272/Hoja_de_ruta_transicion_energetica_justa_TEJ_2025.pdf#:~:text=La%20Transici%C3%B3n%20Energ%C3%A9tica%20Justa%20es%20una%20oportunidad,productivas%20que%20permitan%20una%20generaci%C3%B3n%20de%20valor  </w:t>
      </w:r>
    </w:p>
    <w:p w14:paraId="393FB536" w14:textId="0BA740E0" w:rsidR="50A2AFEA" w:rsidRPr="00CD0C90" w:rsidRDefault="50A2AFEA" w:rsidP="00CD0C90">
      <w:pPr>
        <w:jc w:val="both"/>
        <w:rPr>
          <w:rFonts w:asciiTheme="majorHAnsi" w:hAnsiTheme="majorHAnsi" w:cstheme="majorHAnsi"/>
        </w:rPr>
      </w:pPr>
      <w:r w:rsidRPr="00CD0C90">
        <w:rPr>
          <w:rFonts w:asciiTheme="majorHAnsi" w:hAnsiTheme="majorHAnsi" w:cstheme="majorHAnsi"/>
        </w:rPr>
        <w:lastRenderedPageBreak/>
        <w:t xml:space="preserve">Montesquieu. (1748). El espíritu de las leyes. Disponible en: https://ministeriodeeducacion.gob.do/docs/biblioteca-virtual/idcX-montesquieu-el-espiritu-de-las-leyespdf.pdf  </w:t>
      </w:r>
    </w:p>
    <w:p w14:paraId="3BE89760" w14:textId="48634277" w:rsidR="006255C9" w:rsidRPr="00CD0C90" w:rsidRDefault="006255C9" w:rsidP="00CD0C90">
      <w:pPr>
        <w:pBdr>
          <w:top w:val="nil"/>
          <w:left w:val="nil"/>
          <w:bottom w:val="nil"/>
          <w:right w:val="nil"/>
          <w:between w:val="nil"/>
        </w:pBdr>
        <w:spacing w:before="240"/>
        <w:jc w:val="both"/>
        <w:rPr>
          <w:rFonts w:asciiTheme="majorHAnsi" w:hAnsiTheme="majorHAnsi" w:cstheme="majorHAnsi"/>
          <w:color w:val="000000" w:themeColor="text1"/>
        </w:rPr>
      </w:pPr>
      <w:r w:rsidRPr="00CD0C90">
        <w:rPr>
          <w:rFonts w:asciiTheme="majorHAnsi" w:hAnsiTheme="majorHAnsi" w:cstheme="majorHAnsi"/>
          <w:color w:val="000000" w:themeColor="text1"/>
        </w:rPr>
        <w:t xml:space="preserve">Nacif, B. (2013). Las relaciones entre los poderes </w:t>
      </w:r>
      <w:r w:rsidR="001D4B0A" w:rsidRPr="00CD0C90">
        <w:rPr>
          <w:rFonts w:asciiTheme="majorHAnsi" w:hAnsiTheme="majorHAnsi" w:cstheme="majorHAnsi"/>
          <w:color w:val="000000" w:themeColor="text1"/>
        </w:rPr>
        <w:t>ejecutivo</w:t>
      </w:r>
      <w:r w:rsidRPr="00CD0C90">
        <w:rPr>
          <w:rFonts w:asciiTheme="majorHAnsi" w:hAnsiTheme="majorHAnsi" w:cstheme="majorHAnsi"/>
          <w:color w:val="000000" w:themeColor="text1"/>
        </w:rPr>
        <w:t xml:space="preserve"> y </w:t>
      </w:r>
      <w:r w:rsidR="001D4B0A" w:rsidRPr="00CD0C90">
        <w:rPr>
          <w:rFonts w:asciiTheme="majorHAnsi" w:hAnsiTheme="majorHAnsi" w:cstheme="majorHAnsi"/>
          <w:color w:val="000000" w:themeColor="text1"/>
        </w:rPr>
        <w:t>legislativo</w:t>
      </w:r>
      <w:r w:rsidRPr="00CD0C90">
        <w:rPr>
          <w:rFonts w:asciiTheme="majorHAnsi" w:hAnsiTheme="majorHAnsi" w:cstheme="majorHAnsi"/>
          <w:color w:val="000000" w:themeColor="text1"/>
        </w:rPr>
        <w:t xml:space="preserve"> en México tras el fin del presidencialismo. Política y Gobierno, 10(1), 9-41. </w:t>
      </w:r>
    </w:p>
    <w:p w14:paraId="0615E0AB" w14:textId="4DCFDDC9" w:rsidR="006255C9" w:rsidRPr="00CD0C90" w:rsidRDefault="006255C9" w:rsidP="00CD0C90">
      <w:pPr>
        <w:pBdr>
          <w:top w:val="nil"/>
          <w:left w:val="nil"/>
          <w:bottom w:val="nil"/>
          <w:right w:val="nil"/>
          <w:between w:val="nil"/>
        </w:pBdr>
        <w:spacing w:before="240"/>
        <w:jc w:val="both"/>
        <w:rPr>
          <w:rFonts w:asciiTheme="majorHAnsi" w:hAnsiTheme="majorHAnsi" w:cstheme="majorHAnsi"/>
          <w:color w:val="000000" w:themeColor="text1"/>
        </w:rPr>
      </w:pPr>
      <w:r w:rsidRPr="00CD0C90">
        <w:rPr>
          <w:rFonts w:asciiTheme="majorHAnsi" w:hAnsiTheme="majorHAnsi" w:cstheme="majorHAnsi"/>
          <w:color w:val="000000" w:themeColor="text1"/>
        </w:rPr>
        <w:t xml:space="preserve">OCDE. (2024). OECD Economic Surveys: Mexico 2024. OECD Publishing. </w:t>
      </w:r>
    </w:p>
    <w:p w14:paraId="36AB2DD3" w14:textId="5CE0DFD7" w:rsidR="006E1E21" w:rsidRPr="00CD0C90" w:rsidRDefault="006E1E21" w:rsidP="00CD0C90">
      <w:pPr>
        <w:jc w:val="both"/>
        <w:rPr>
          <w:rFonts w:asciiTheme="majorHAnsi" w:hAnsiTheme="majorHAnsi" w:cstheme="majorHAnsi"/>
          <w:lang w:val="en-US"/>
        </w:rPr>
      </w:pPr>
      <w:r w:rsidRPr="00CD0C90">
        <w:rPr>
          <w:rFonts w:asciiTheme="majorHAnsi" w:hAnsiTheme="majorHAnsi" w:cstheme="majorHAnsi"/>
        </w:rPr>
        <w:t xml:space="preserve">Pachón, M. (2020). Control político en Colombia. </w:t>
      </w:r>
      <w:r w:rsidRPr="00CD0C90">
        <w:rPr>
          <w:rFonts w:asciiTheme="majorHAnsi" w:hAnsiTheme="majorHAnsi" w:cstheme="majorHAnsi"/>
          <w:lang w:val="en-US"/>
        </w:rPr>
        <w:t>Geneva Centre for Secutiry Sector Governance DCAF. https://www.dcaf.ch/sites/default/files/publications/documents/DCAF_Estudio%20</w:t>
      </w:r>
      <w:r w:rsidR="001D4B0A" w:rsidRPr="00CD0C90">
        <w:rPr>
          <w:rFonts w:asciiTheme="majorHAnsi" w:hAnsiTheme="majorHAnsi" w:cstheme="majorHAnsi"/>
          <w:lang w:val="en-US"/>
        </w:rPr>
        <w:t>legislativo</w:t>
      </w:r>
      <w:r w:rsidRPr="00CD0C90">
        <w:rPr>
          <w:rFonts w:asciiTheme="majorHAnsi" w:hAnsiTheme="majorHAnsi" w:cstheme="majorHAnsi"/>
          <w:lang w:val="en-US"/>
        </w:rPr>
        <w:t xml:space="preserve">-ONLINE_Revisado_FINAL.pdf </w:t>
      </w:r>
    </w:p>
    <w:p w14:paraId="51AD69F7" w14:textId="225A535C" w:rsidR="006255C9" w:rsidRPr="00CD0C90" w:rsidRDefault="006255C9" w:rsidP="00CD0C90">
      <w:pPr>
        <w:pBdr>
          <w:top w:val="nil"/>
          <w:left w:val="nil"/>
          <w:bottom w:val="nil"/>
          <w:right w:val="nil"/>
          <w:between w:val="nil"/>
        </w:pBdr>
        <w:spacing w:before="240"/>
        <w:jc w:val="both"/>
        <w:rPr>
          <w:rFonts w:asciiTheme="majorHAnsi" w:hAnsiTheme="majorHAnsi" w:cstheme="majorHAnsi"/>
          <w:color w:val="000000" w:themeColor="text1"/>
        </w:rPr>
      </w:pPr>
      <w:r w:rsidRPr="00CD0C90">
        <w:rPr>
          <w:rFonts w:asciiTheme="majorHAnsi" w:hAnsiTheme="majorHAnsi" w:cstheme="majorHAnsi"/>
          <w:color w:val="000000" w:themeColor="text1"/>
        </w:rPr>
        <w:t xml:space="preserve">Prontuario de Democracia UNAM. (2021). Presidencialismo de supermayoría en México: Congreso y gobernabilidad. UNAM. </w:t>
      </w:r>
    </w:p>
    <w:p w14:paraId="43D92AB6" w14:textId="4B6A8CEE" w:rsidR="50A2AFEA" w:rsidRPr="00CD0C90" w:rsidRDefault="50A2AFEA" w:rsidP="00CD0C90">
      <w:pPr>
        <w:jc w:val="both"/>
        <w:rPr>
          <w:rFonts w:asciiTheme="majorHAnsi" w:hAnsiTheme="majorHAnsi" w:cstheme="majorHAnsi"/>
        </w:rPr>
      </w:pPr>
      <w:r w:rsidRPr="00CD0C90">
        <w:rPr>
          <w:rFonts w:asciiTheme="majorHAnsi" w:hAnsiTheme="majorHAnsi" w:cstheme="majorHAnsi"/>
        </w:rPr>
        <w:t xml:space="preserve">Puyana Valdivieso, J. (2008). El control legislativo de la burocracia: un estado del arte. Civilizar Ciencias Sociales y Humanas, 8(14), 63-84. Disponible en: http://www.scielo.org.co/scielo.php?script=sci_arttext&amp;pid=S1657-89532008000100006&amp;lng=en&amp;tlng=es  </w:t>
      </w:r>
    </w:p>
    <w:p w14:paraId="2C32688C" w14:textId="77777777" w:rsidR="006255C9" w:rsidRPr="00CD0C90" w:rsidRDefault="006255C9" w:rsidP="00CD0C90">
      <w:pPr>
        <w:pBdr>
          <w:top w:val="nil"/>
          <w:left w:val="nil"/>
          <w:bottom w:val="nil"/>
          <w:right w:val="nil"/>
          <w:between w:val="nil"/>
        </w:pBdr>
        <w:spacing w:before="240"/>
        <w:jc w:val="both"/>
        <w:rPr>
          <w:rFonts w:asciiTheme="majorHAnsi" w:hAnsiTheme="majorHAnsi" w:cstheme="majorHAnsi"/>
          <w:color w:val="000000" w:themeColor="text1"/>
        </w:rPr>
      </w:pPr>
      <w:r w:rsidRPr="00CD0C90">
        <w:rPr>
          <w:rFonts w:asciiTheme="majorHAnsi" w:hAnsiTheme="majorHAnsi" w:cstheme="majorHAnsi"/>
          <w:color w:val="000000" w:themeColor="text1"/>
        </w:rPr>
        <w:t xml:space="preserve">Red Eléctrica de España – REE. (2025). Informe de Energías Renovables 2024. REE. </w:t>
      </w:r>
    </w:p>
    <w:p w14:paraId="71502F45" w14:textId="770E2893" w:rsidR="006255C9" w:rsidRPr="00CD0C90" w:rsidRDefault="006255C9" w:rsidP="00CD0C90">
      <w:pPr>
        <w:pBdr>
          <w:top w:val="nil"/>
          <w:left w:val="nil"/>
          <w:bottom w:val="nil"/>
          <w:right w:val="nil"/>
          <w:between w:val="nil"/>
        </w:pBdr>
        <w:spacing w:before="240"/>
        <w:jc w:val="both"/>
        <w:rPr>
          <w:rFonts w:asciiTheme="majorHAnsi" w:hAnsiTheme="majorHAnsi" w:cstheme="majorHAnsi"/>
          <w:color w:val="000000" w:themeColor="text1"/>
        </w:rPr>
      </w:pPr>
      <w:r w:rsidRPr="00CD0C90">
        <w:rPr>
          <w:rFonts w:asciiTheme="majorHAnsi" w:hAnsiTheme="majorHAnsi" w:cstheme="majorHAnsi"/>
          <w:color w:val="000000" w:themeColor="text1"/>
          <w:lang w:val="en-US"/>
        </w:rPr>
        <w:t xml:space="preserve">Rhodes, R. A. W. (1990). Policy networks: A British perspective. </w:t>
      </w:r>
      <w:r w:rsidRPr="00CD0C90">
        <w:rPr>
          <w:rFonts w:asciiTheme="majorHAnsi" w:hAnsiTheme="majorHAnsi" w:cstheme="majorHAnsi"/>
          <w:color w:val="000000" w:themeColor="text1"/>
        </w:rPr>
        <w:t xml:space="preserve">Journal of Theoretical Politics, 2(3), 293-317. https://doi.org/10.1177/0951692890002003002 </w:t>
      </w:r>
    </w:p>
    <w:p w14:paraId="54543DF8" w14:textId="12D78684" w:rsidR="50A2AFEA" w:rsidRPr="00CD0C90" w:rsidRDefault="50A2AFEA" w:rsidP="00CD0C90">
      <w:pPr>
        <w:jc w:val="both"/>
        <w:rPr>
          <w:rFonts w:asciiTheme="majorHAnsi" w:hAnsiTheme="majorHAnsi" w:cstheme="majorHAnsi"/>
        </w:rPr>
      </w:pPr>
      <w:r w:rsidRPr="00CD0C90">
        <w:rPr>
          <w:rFonts w:asciiTheme="majorHAnsi" w:hAnsiTheme="majorHAnsi" w:cstheme="majorHAnsi"/>
        </w:rPr>
        <w:t xml:space="preserve">Rojas, J. (2022). El control político del poder legislativo en el estado de emergencia económica, social y ecológica en Colombia: una propuesta para lograr su eficacia. Universidad Externado de Colombia. [Tesis de maestría]. Disponible en: https://bdigital.uexternado.edu.co/server/api/core/bitstreams/cf10811e-09fd-4a57-9093-9477dbeafbf8/content  </w:t>
      </w:r>
    </w:p>
    <w:p w14:paraId="34B9E704" w14:textId="3D7DD26C" w:rsidR="006255C9" w:rsidRPr="00CD0C90" w:rsidRDefault="006255C9" w:rsidP="00CD0C90">
      <w:pPr>
        <w:pBdr>
          <w:top w:val="nil"/>
          <w:left w:val="nil"/>
          <w:bottom w:val="nil"/>
          <w:right w:val="nil"/>
          <w:between w:val="nil"/>
        </w:pBdr>
        <w:spacing w:before="240"/>
        <w:jc w:val="both"/>
        <w:rPr>
          <w:rFonts w:asciiTheme="majorHAnsi" w:hAnsiTheme="majorHAnsi" w:cstheme="majorHAnsi"/>
          <w:color w:val="000000" w:themeColor="text1"/>
          <w:lang w:val="en-US"/>
        </w:rPr>
      </w:pPr>
      <w:r w:rsidRPr="00CD0C90">
        <w:rPr>
          <w:rFonts w:asciiTheme="majorHAnsi" w:hAnsiTheme="majorHAnsi" w:cstheme="majorHAnsi"/>
          <w:color w:val="000000" w:themeColor="text1"/>
          <w:lang w:val="en-US"/>
        </w:rPr>
        <w:t xml:space="preserve">Taylor, M. et al. (2025). Exploring discourses of climate delay in energy transition. Climate Policy. https://www.tandfonline.com/doi/full/10.1080/17565529.2025.2574078 </w:t>
      </w:r>
    </w:p>
    <w:p w14:paraId="16B8870D" w14:textId="6E790B78" w:rsidR="006255C9" w:rsidRPr="00CD0C90" w:rsidRDefault="006255C9" w:rsidP="00CD0C90">
      <w:pPr>
        <w:jc w:val="both"/>
        <w:rPr>
          <w:rFonts w:asciiTheme="majorHAnsi" w:hAnsiTheme="majorHAnsi" w:cstheme="majorHAnsi"/>
          <w:lang w:val="en-US"/>
        </w:rPr>
      </w:pPr>
      <w:r w:rsidRPr="00CD0C90">
        <w:rPr>
          <w:rFonts w:asciiTheme="majorHAnsi" w:hAnsiTheme="majorHAnsi" w:cstheme="majorHAnsi"/>
          <w:lang w:val="en-US"/>
        </w:rPr>
        <w:t>Tsebelis, G. (2002). Veto players: How political institutions work. Princeton University Press. http://www.jstor.org/stable/j.ctt7rvv7</w:t>
      </w:r>
    </w:p>
    <w:p w14:paraId="38D1D1B3" w14:textId="77266333" w:rsidR="50A2AFEA" w:rsidRPr="00CD0C90" w:rsidRDefault="50A2AFEA" w:rsidP="00CD0C90">
      <w:pPr>
        <w:jc w:val="both"/>
        <w:rPr>
          <w:rFonts w:asciiTheme="majorHAnsi" w:hAnsiTheme="majorHAnsi" w:cstheme="majorHAnsi"/>
        </w:rPr>
      </w:pPr>
      <w:r w:rsidRPr="00CD0C90">
        <w:rPr>
          <w:rFonts w:asciiTheme="majorHAnsi" w:hAnsiTheme="majorHAnsi" w:cstheme="majorHAnsi"/>
          <w:lang w:val="en-US"/>
        </w:rPr>
        <w:t xml:space="preserve">Uribe, J. (2022). </w:t>
      </w:r>
      <w:r w:rsidRPr="00CD0C90">
        <w:rPr>
          <w:rFonts w:asciiTheme="majorHAnsi" w:hAnsiTheme="majorHAnsi" w:cstheme="majorHAnsi"/>
        </w:rPr>
        <w:t xml:space="preserve">La relación de la rama ejecutiva y legislativa en la formulación de políticas públicas en Colombia. Análisis de la elaboración y aprobación del Plan Nacional de Desarrollo 2018-2022. En: Documento de Trabajo No. 88. ISSN 2215 – 7816. Disponible en: https://gobierno.uniandes.edu.co/documento-de-trabajo-no-88/  </w:t>
      </w:r>
    </w:p>
    <w:p w14:paraId="71CA1E34" w14:textId="08A7F9FD" w:rsidR="50A2AFEA" w:rsidRPr="00CD0C90" w:rsidRDefault="50A2AFEA" w:rsidP="00CD0C90">
      <w:pPr>
        <w:jc w:val="both"/>
        <w:rPr>
          <w:rFonts w:asciiTheme="majorHAnsi" w:hAnsiTheme="majorHAnsi" w:cstheme="majorHAnsi"/>
        </w:rPr>
      </w:pPr>
      <w:r w:rsidRPr="00CD0C90">
        <w:rPr>
          <w:rFonts w:asciiTheme="majorHAnsi" w:hAnsiTheme="majorHAnsi" w:cstheme="majorHAnsi"/>
        </w:rPr>
        <w:lastRenderedPageBreak/>
        <w:t xml:space="preserve">Unidad de Planeación Minero-Energética (UPME). (S. F.). Transición energética justa. </w:t>
      </w:r>
      <w:r w:rsidR="58A592BA" w:rsidRPr="00CD0C90">
        <w:rPr>
          <w:rFonts w:asciiTheme="majorHAnsi" w:hAnsiTheme="majorHAnsi" w:cstheme="majorHAnsi"/>
        </w:rPr>
        <w:t xml:space="preserve">Disponible en: </w:t>
      </w:r>
      <w:r w:rsidRPr="00CD0C90">
        <w:rPr>
          <w:rFonts w:asciiTheme="majorHAnsi" w:hAnsiTheme="majorHAnsi" w:cstheme="majorHAnsi"/>
        </w:rPr>
        <w:t xml:space="preserve">https://www.upme.gov.co/transicion-energetica-justa/#:~:text=La%20Transici%C3%B3n%20Energ%C3%A9tica%20Justa%20(TEJ,integrando%20dimensiones%20de%20justicia%20ambiental%2C   </w:t>
      </w:r>
    </w:p>
    <w:p w14:paraId="614DBFC1" w14:textId="7AE630C5" w:rsidR="50A2AFEA" w:rsidRPr="00CD0C90" w:rsidRDefault="50A2AFEA" w:rsidP="00CD0C90">
      <w:pPr>
        <w:jc w:val="both"/>
        <w:rPr>
          <w:rFonts w:asciiTheme="majorHAnsi" w:hAnsiTheme="majorHAnsi" w:cstheme="majorHAnsi"/>
        </w:rPr>
      </w:pPr>
      <w:r w:rsidRPr="00CD0C90">
        <w:rPr>
          <w:rFonts w:asciiTheme="majorHAnsi" w:hAnsiTheme="majorHAnsi" w:cstheme="majorHAnsi"/>
        </w:rPr>
        <w:t xml:space="preserve">Vargas, J. (2005). Hacia un nuevo diseño de gobernabilidad glocal postnacional, Polis [En línea], 10. </w:t>
      </w:r>
      <w:r w:rsidR="2A306E59" w:rsidRPr="00CD0C90">
        <w:rPr>
          <w:rFonts w:asciiTheme="majorHAnsi" w:hAnsiTheme="majorHAnsi" w:cstheme="majorHAnsi"/>
        </w:rPr>
        <w:t>Disponible en</w:t>
      </w:r>
      <w:r w:rsidRPr="00CD0C90">
        <w:rPr>
          <w:rFonts w:asciiTheme="majorHAnsi" w:hAnsiTheme="majorHAnsi" w:cstheme="majorHAnsi"/>
        </w:rPr>
        <w:t xml:space="preserve">: http://journals.openedition.org/polis/7553 </w:t>
      </w:r>
    </w:p>
    <w:p w14:paraId="39734CA1" w14:textId="7B65C846" w:rsidR="50A2AFEA" w:rsidRPr="00CD0C90" w:rsidRDefault="50A2AFEA" w:rsidP="00CD0C90">
      <w:pPr>
        <w:jc w:val="both"/>
        <w:rPr>
          <w:rFonts w:asciiTheme="majorHAnsi" w:hAnsiTheme="majorHAnsi" w:cstheme="majorHAnsi"/>
        </w:rPr>
      </w:pPr>
      <w:r w:rsidRPr="00CD0C90">
        <w:rPr>
          <w:rFonts w:asciiTheme="majorHAnsi" w:hAnsiTheme="majorHAnsi" w:cstheme="majorHAnsi"/>
        </w:rPr>
        <w:t xml:space="preserve">Velásquez G. (2010). Hacia una nueva definición del concepto “política pública”. Desafíos, 20, 149–187. </w:t>
      </w:r>
    </w:p>
    <w:p w14:paraId="7944E020" w14:textId="235BB28A" w:rsidR="50A2AFEA" w:rsidRPr="00CD0C90" w:rsidRDefault="50A2AFEA" w:rsidP="00CD0C90">
      <w:pPr>
        <w:jc w:val="both"/>
        <w:rPr>
          <w:rFonts w:asciiTheme="majorHAnsi" w:hAnsiTheme="majorHAnsi" w:cstheme="majorHAnsi"/>
        </w:rPr>
      </w:pPr>
      <w:r w:rsidRPr="00CD0C90">
        <w:rPr>
          <w:rFonts w:asciiTheme="majorHAnsi" w:hAnsiTheme="majorHAnsi" w:cstheme="majorHAnsi"/>
        </w:rPr>
        <w:t xml:space="preserve">Vile, M. J. C. (2007). Constitucionalismo y separación de poderes. Centro de Estudios Políticos y Constitucionales. Madrid. </w:t>
      </w:r>
    </w:p>
    <w:p w14:paraId="5286F355" w14:textId="2BF7E406" w:rsidR="00023650" w:rsidRPr="00CD0C90" w:rsidRDefault="006255C9" w:rsidP="00CD0C90">
      <w:pPr>
        <w:pBdr>
          <w:top w:val="nil"/>
          <w:left w:val="nil"/>
          <w:bottom w:val="nil"/>
          <w:right w:val="nil"/>
          <w:between w:val="nil"/>
        </w:pBdr>
        <w:spacing w:before="240"/>
        <w:jc w:val="both"/>
        <w:rPr>
          <w:rFonts w:asciiTheme="majorHAnsi" w:hAnsiTheme="majorHAnsi" w:cstheme="majorHAnsi"/>
          <w:lang w:val="es-ES"/>
        </w:rPr>
      </w:pPr>
      <w:r w:rsidRPr="00CD0C90">
        <w:rPr>
          <w:rFonts w:asciiTheme="majorHAnsi" w:hAnsiTheme="majorHAnsi" w:cstheme="majorHAnsi"/>
          <w:color w:val="000000" w:themeColor="text1"/>
        </w:rPr>
        <w:t xml:space="preserve">World Economic Forum. </w:t>
      </w:r>
      <w:r w:rsidRPr="00CD0C90">
        <w:rPr>
          <w:rFonts w:asciiTheme="majorHAnsi" w:hAnsiTheme="majorHAnsi" w:cstheme="majorHAnsi"/>
          <w:color w:val="000000" w:themeColor="text1"/>
          <w:lang w:val="en-US"/>
        </w:rPr>
        <w:t xml:space="preserve">(2024). Fostering Effective Energy Transition: Energy Transition Index 2024. </w:t>
      </w:r>
      <w:r w:rsidRPr="00CD0C90">
        <w:rPr>
          <w:rFonts w:asciiTheme="majorHAnsi" w:hAnsiTheme="majorHAnsi" w:cstheme="majorHAnsi"/>
          <w:color w:val="000000" w:themeColor="text1"/>
        </w:rPr>
        <w:t xml:space="preserve">WEF. </w:t>
      </w:r>
    </w:p>
    <w:p w14:paraId="4970C320" w14:textId="6213B05F" w:rsidR="50A2AFEA" w:rsidRPr="00CD0C90" w:rsidRDefault="50A2AFEA" w:rsidP="00CD0C90">
      <w:pPr>
        <w:jc w:val="both"/>
        <w:rPr>
          <w:rFonts w:asciiTheme="majorHAnsi" w:hAnsiTheme="majorHAnsi" w:cstheme="majorHAnsi"/>
          <w:b/>
          <w:bCs/>
        </w:rPr>
      </w:pPr>
      <w:r w:rsidRPr="00CD0C90">
        <w:rPr>
          <w:rFonts w:asciiTheme="majorHAnsi" w:hAnsiTheme="majorHAnsi" w:cstheme="majorHAnsi"/>
          <w:b/>
          <w:bCs/>
        </w:rPr>
        <w:t xml:space="preserve">Normatividad </w:t>
      </w:r>
    </w:p>
    <w:p w14:paraId="3A939B92" w14:textId="3AB07E69" w:rsidR="50A2AFEA" w:rsidRPr="00CD0C90" w:rsidRDefault="50A2AFEA" w:rsidP="00CD0C90">
      <w:pPr>
        <w:jc w:val="both"/>
        <w:rPr>
          <w:rFonts w:asciiTheme="majorHAnsi" w:hAnsiTheme="majorHAnsi" w:cstheme="majorHAnsi"/>
        </w:rPr>
      </w:pPr>
      <w:r w:rsidRPr="00CD0C90">
        <w:rPr>
          <w:rFonts w:asciiTheme="majorHAnsi" w:hAnsiTheme="majorHAnsi" w:cstheme="majorHAnsi"/>
        </w:rPr>
        <w:t xml:space="preserve">Congreso de la República de Colombia. (1992). Ley 5 de 1992, “Por la cual se expide el Reglamento del Congreso de la República; el Senado de la República y la Cámara de Representantes”. Diario Oficial No. 40.483. https://www.senado.gov.co/index.php/el-senado/normatividad/ley-5ta-reglamento </w:t>
      </w:r>
    </w:p>
    <w:p w14:paraId="698ED6E6" w14:textId="2450E908" w:rsidR="50A2AFEA" w:rsidRPr="00CD0C90" w:rsidRDefault="50A2AFEA" w:rsidP="00CD0C90">
      <w:pPr>
        <w:jc w:val="both"/>
        <w:rPr>
          <w:rFonts w:asciiTheme="majorHAnsi" w:hAnsiTheme="majorHAnsi" w:cstheme="majorHAnsi"/>
        </w:rPr>
      </w:pPr>
      <w:r w:rsidRPr="00CD0C90">
        <w:rPr>
          <w:rFonts w:asciiTheme="majorHAnsi" w:hAnsiTheme="majorHAnsi" w:cstheme="majorHAnsi"/>
        </w:rPr>
        <w:t xml:space="preserve">Congreso de la República de Colombia. (2023). Ley 2294 de 2023, “Por la cual se expide el Plan Nacional de Desarrollo 2022-2026 "Colombia Potencia Mundial de la Vida"”. Diario Oficial No. 52.666. https://www.funcionpublica.gov.co/eva/gestornormativo/norma.php?i=209510 </w:t>
      </w:r>
    </w:p>
    <w:p w14:paraId="50655AAE" w14:textId="7D5CCFF8" w:rsidR="50A2AFEA" w:rsidRPr="00CD0C90" w:rsidRDefault="50A2AFEA" w:rsidP="00CD0C90">
      <w:pPr>
        <w:jc w:val="both"/>
        <w:rPr>
          <w:rFonts w:asciiTheme="majorHAnsi" w:hAnsiTheme="majorHAnsi" w:cstheme="majorHAnsi"/>
        </w:rPr>
      </w:pPr>
      <w:r w:rsidRPr="00CD0C90">
        <w:rPr>
          <w:rFonts w:asciiTheme="majorHAnsi" w:hAnsiTheme="majorHAnsi" w:cstheme="majorHAnsi"/>
        </w:rPr>
        <w:t xml:space="preserve">Consejo nacional de política económica y social (CONPES). (2020). Política de transición energética [CONPES 4075]. Departamento Nacional de Planeación. https://colaboracion.dnp.gov.co/CDT/Conpes/Econ%C3%B3micos/4075.pdf </w:t>
      </w:r>
    </w:p>
    <w:p w14:paraId="5733B321" w14:textId="7DADBA44" w:rsidR="50A2AFEA" w:rsidRPr="00CD0C90" w:rsidRDefault="50A2AFEA" w:rsidP="00CD0C90">
      <w:pPr>
        <w:jc w:val="both"/>
        <w:rPr>
          <w:rFonts w:asciiTheme="majorHAnsi" w:hAnsiTheme="majorHAnsi" w:cstheme="majorHAnsi"/>
        </w:rPr>
      </w:pPr>
      <w:r w:rsidRPr="00CD0C90">
        <w:rPr>
          <w:rFonts w:asciiTheme="majorHAnsi" w:hAnsiTheme="majorHAnsi" w:cstheme="majorHAnsi"/>
        </w:rPr>
        <w:t xml:space="preserve">Constitución Política de Colombia. (1991). https://www.funcionpublica.gov.co/eva/gestornormativo/norma.php?i=4125 </w:t>
      </w:r>
    </w:p>
    <w:p w14:paraId="07D40E01" w14:textId="44DECB0B" w:rsidR="50A2AFEA" w:rsidRPr="00CD0C90" w:rsidRDefault="50A2AFEA" w:rsidP="00CD0C90">
      <w:pPr>
        <w:jc w:val="both"/>
        <w:rPr>
          <w:rFonts w:asciiTheme="majorHAnsi" w:hAnsiTheme="majorHAnsi" w:cstheme="majorHAnsi"/>
        </w:rPr>
      </w:pPr>
      <w:r w:rsidRPr="00CD0C90">
        <w:rPr>
          <w:rFonts w:asciiTheme="majorHAnsi" w:hAnsiTheme="majorHAnsi" w:cstheme="majorHAnsi"/>
        </w:rPr>
        <w:t xml:space="preserve">Presidencia de la República de Colombia. (2012). Decreto 0381 de 2012, “Por el cual se modifica la estructura del Ministerio de Minas y Energía”. Diario Oficial No. 48.359. https://www.funcionpublica.gov.co/eva/gestornormativo/norma.php?i=45123 </w:t>
      </w:r>
    </w:p>
    <w:p w14:paraId="32203D56" w14:textId="525D1002" w:rsidR="006E1E21" w:rsidRPr="00CD0C90" w:rsidRDefault="006E1E21" w:rsidP="00CD0C90">
      <w:pPr>
        <w:jc w:val="both"/>
        <w:rPr>
          <w:rFonts w:asciiTheme="majorHAnsi" w:hAnsiTheme="majorHAnsi" w:cstheme="majorHAnsi"/>
        </w:rPr>
      </w:pPr>
      <w:r w:rsidRPr="00CD0C90">
        <w:rPr>
          <w:rFonts w:asciiTheme="majorHAnsi" w:hAnsiTheme="majorHAnsi" w:cstheme="majorHAnsi"/>
        </w:rPr>
        <w:t xml:space="preserve">Presidencia de la República de Colombia. (2020). CONPES 3975 de 2019: Política para la transición energética. Departamento Nacional de Planeación. https://colaboracion.dnp.gov.co/CDT/Conpes/Econ%C3%B3micos/3975.pdf </w:t>
      </w:r>
    </w:p>
    <w:p w14:paraId="26E5CD77" w14:textId="1D0FAAAC" w:rsidR="50A2AFEA" w:rsidRPr="00CD0C90" w:rsidRDefault="50A2AFEA" w:rsidP="00CD0C90">
      <w:pPr>
        <w:jc w:val="both"/>
        <w:rPr>
          <w:rFonts w:asciiTheme="majorHAnsi" w:hAnsiTheme="majorHAnsi" w:cstheme="majorHAnsi"/>
        </w:rPr>
      </w:pPr>
      <w:r w:rsidRPr="00CD0C90">
        <w:rPr>
          <w:rFonts w:asciiTheme="majorHAnsi" w:hAnsiTheme="majorHAnsi" w:cstheme="majorHAnsi"/>
        </w:rPr>
        <w:t>Presidencia de la República de Colombia. (2013). Decreto 1617 de 2013, “Por el cual se modifica y adiciona el Decreto 381 del 16 de febrero de 2012”. Diario Oficial No. 48.879. https://www.funcionpublica.gov.co/eva/gestornormativo/norma.php?i=53498</w:t>
      </w:r>
    </w:p>
    <w:p w14:paraId="5D04BDD6" w14:textId="19F3AA3D" w:rsidR="006E1E21" w:rsidRPr="00CD0C90" w:rsidRDefault="006E1E21" w:rsidP="00CD0C90">
      <w:pPr>
        <w:jc w:val="both"/>
        <w:rPr>
          <w:rFonts w:asciiTheme="majorHAnsi" w:hAnsiTheme="majorHAnsi" w:cstheme="majorHAnsi"/>
        </w:rPr>
      </w:pPr>
    </w:p>
    <w:p w14:paraId="33D6A46D" w14:textId="794559C7" w:rsidR="006E1E21" w:rsidRPr="00CD0C90" w:rsidRDefault="006E1E21" w:rsidP="00CD0C90">
      <w:pPr>
        <w:jc w:val="both"/>
        <w:rPr>
          <w:rFonts w:asciiTheme="majorHAnsi" w:hAnsiTheme="majorHAnsi" w:cstheme="majorHAnsi"/>
        </w:rPr>
      </w:pPr>
    </w:p>
    <w:p w14:paraId="74920EB1" w14:textId="224A8F9E" w:rsidR="006E1E21" w:rsidRPr="00CD0C90" w:rsidRDefault="006E1E21" w:rsidP="00CD0C90">
      <w:pPr>
        <w:jc w:val="both"/>
        <w:rPr>
          <w:rFonts w:asciiTheme="majorHAnsi" w:hAnsiTheme="majorHAnsi" w:cstheme="majorHAnsi"/>
        </w:rPr>
      </w:pPr>
    </w:p>
    <w:p w14:paraId="217468DB" w14:textId="09E765D7" w:rsidR="006E1E21" w:rsidRPr="00CD0C90" w:rsidRDefault="006E1E21" w:rsidP="00CD0C90">
      <w:pPr>
        <w:jc w:val="both"/>
        <w:rPr>
          <w:rFonts w:asciiTheme="majorHAnsi" w:hAnsiTheme="majorHAnsi" w:cstheme="majorHAnsi"/>
        </w:rPr>
      </w:pPr>
    </w:p>
    <w:p w14:paraId="0D3A9923" w14:textId="1C1197C1" w:rsidR="006E1E21" w:rsidRPr="00CD0C90" w:rsidRDefault="006E1E21" w:rsidP="00CD0C90">
      <w:pPr>
        <w:jc w:val="both"/>
        <w:rPr>
          <w:rFonts w:asciiTheme="majorHAnsi" w:hAnsiTheme="majorHAnsi" w:cstheme="majorHAnsi"/>
        </w:rPr>
      </w:pPr>
    </w:p>
    <w:p w14:paraId="4E666CAC" w14:textId="4A63F49A" w:rsidR="006255C9" w:rsidRPr="00CD0C90" w:rsidRDefault="006255C9" w:rsidP="00CD0C90">
      <w:pPr>
        <w:pBdr>
          <w:top w:val="nil"/>
          <w:left w:val="nil"/>
          <w:bottom w:val="nil"/>
          <w:right w:val="nil"/>
          <w:between w:val="nil"/>
        </w:pBdr>
        <w:spacing w:before="240" w:after="0"/>
        <w:jc w:val="both"/>
        <w:rPr>
          <w:rFonts w:asciiTheme="majorHAnsi" w:hAnsiTheme="majorHAnsi" w:cstheme="majorHAnsi"/>
          <w:lang w:val="es-ES"/>
        </w:rPr>
      </w:pPr>
    </w:p>
    <w:p w14:paraId="77AB83EB" w14:textId="09F0D59F" w:rsidR="006255C9" w:rsidRPr="00CD0C90" w:rsidRDefault="006255C9" w:rsidP="00CD0C90">
      <w:pPr>
        <w:pBdr>
          <w:top w:val="nil"/>
          <w:left w:val="nil"/>
          <w:bottom w:val="nil"/>
          <w:right w:val="nil"/>
          <w:between w:val="nil"/>
        </w:pBdr>
        <w:spacing w:before="240" w:after="0"/>
        <w:jc w:val="both"/>
        <w:rPr>
          <w:rFonts w:asciiTheme="majorHAnsi" w:hAnsiTheme="majorHAnsi" w:cstheme="majorHAnsi"/>
          <w:lang w:val="es-ES"/>
        </w:rPr>
      </w:pPr>
    </w:p>
    <w:p w14:paraId="773FE2FD" w14:textId="68F406E2" w:rsidR="006255C9" w:rsidRPr="00CD0C90" w:rsidRDefault="006255C9" w:rsidP="00CD0C90">
      <w:pPr>
        <w:pBdr>
          <w:top w:val="nil"/>
          <w:left w:val="nil"/>
          <w:bottom w:val="nil"/>
          <w:right w:val="nil"/>
          <w:between w:val="nil"/>
        </w:pBdr>
        <w:spacing w:before="240" w:after="0"/>
        <w:jc w:val="both"/>
        <w:rPr>
          <w:rFonts w:asciiTheme="majorHAnsi" w:hAnsiTheme="majorHAnsi" w:cstheme="majorHAnsi"/>
          <w:lang w:val="es-ES"/>
        </w:rPr>
      </w:pPr>
    </w:p>
    <w:sectPr w:rsidR="006255C9" w:rsidRPr="00CD0C90">
      <w:headerReference w:type="default" r:id="rId37"/>
      <w:footerReference w:type="default" r:id="rId38"/>
      <w:pgSz w:w="12240" w:h="15840"/>
      <w:pgMar w:top="1991" w:right="1418" w:bottom="1588" w:left="1418" w:header="573" w:footer="153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6FEBEB" w14:textId="77777777" w:rsidR="003801C0" w:rsidRDefault="003801C0">
      <w:pPr>
        <w:spacing w:after="0" w:line="240" w:lineRule="auto"/>
      </w:pPr>
      <w:r>
        <w:separator/>
      </w:r>
    </w:p>
  </w:endnote>
  <w:endnote w:type="continuationSeparator" w:id="0">
    <w:p w14:paraId="62869841" w14:textId="77777777" w:rsidR="003801C0" w:rsidRDefault="003801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CE7A30EB-1802-46BA-87BD-60E1E206CD35}"/>
    <w:embedBold r:id="rId2" w:fontKey="{38CCC852-73A9-434A-9D5C-77BFB336140A}"/>
    <w:embedItalic r:id="rId3" w:fontKey="{F07BBFF1-8C75-46D8-8535-1F498F991A60}"/>
    <w:embedBoldItalic r:id="rId4" w:fontKey="{8D55D088-C3CA-450B-8630-228D860BBF3C}"/>
  </w:font>
  <w:font w:name="Georgia">
    <w:panose1 w:val="02040502050405020303"/>
    <w:charset w:val="00"/>
    <w:family w:val="roman"/>
    <w:pitch w:val="variable"/>
    <w:sig w:usb0="00000287" w:usb1="00000000" w:usb2="00000000" w:usb3="00000000" w:csb0="0000009F" w:csb1="00000000"/>
    <w:embedItalic r:id="rId5" w:fontKey="{AC3E9233-27E3-49EF-8ABF-8FE0943F8B81}"/>
  </w:font>
  <w:font w:name="Cambria">
    <w:panose1 w:val="02040503050406030204"/>
    <w:charset w:val="00"/>
    <w:family w:val="roman"/>
    <w:pitch w:val="variable"/>
    <w:sig w:usb0="E00006FF" w:usb1="420024FF" w:usb2="02000000" w:usb3="00000000" w:csb0="0000019F" w:csb1="00000000"/>
    <w:embedRegular r:id="rId6" w:fontKey="{098B2DE6-7B74-4DFF-865E-3D1A9C19142F}"/>
  </w:font>
  <w:font w:name="Cambria Math">
    <w:panose1 w:val="02040503050406030204"/>
    <w:charset w:val="00"/>
    <w:family w:val="roman"/>
    <w:pitch w:val="variable"/>
    <w:sig w:usb0="E00006FF" w:usb1="420024FF" w:usb2="02000000" w:usb3="00000000" w:csb0="0000019F" w:csb1="00000000"/>
    <w:embedRegular r:id="rId7" w:fontKey="{271913AE-AC17-4966-9A78-E7C138C5D839}"/>
  </w:font>
  <w:font w:name="Work Sans">
    <w:altName w:val="Work Sans"/>
    <w:charset w:val="00"/>
    <w:family w:val="auto"/>
    <w:pitch w:val="variable"/>
    <w:sig w:usb0="A00000FF" w:usb1="5000E07B" w:usb2="00000000" w:usb3="00000000" w:csb0="00000193" w:csb1="00000000"/>
    <w:embedRegular r:id="rId8" w:fontKey="{5E864C4C-1EC4-4C23-B993-F3C67C44F446}"/>
    <w:embedBold r:id="rId9" w:fontKey="{835A7BC5-0D6E-477D-A8FA-D82603312AD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028CC" w14:textId="77777777" w:rsidR="006919AE" w:rsidRDefault="002A552A">
    <w:pPr>
      <w:pBdr>
        <w:top w:val="nil"/>
        <w:left w:val="nil"/>
        <w:bottom w:val="nil"/>
        <w:right w:val="nil"/>
        <w:between w:val="nil"/>
      </w:pBdr>
      <w:tabs>
        <w:tab w:val="center" w:pos="4419"/>
        <w:tab w:val="right" w:pos="8838"/>
      </w:tabs>
      <w:spacing w:after="0" w:line="240" w:lineRule="auto"/>
      <w:rPr>
        <w:color w:val="000000"/>
      </w:rPr>
    </w:pPr>
    <w:r>
      <w:rPr>
        <w:noProof/>
      </w:rPr>
      <w:drawing>
        <wp:anchor distT="0" distB="0" distL="114300" distR="114300" simplePos="0" relativeHeight="251659264" behindDoc="0" locked="0" layoutInCell="1" hidden="0" allowOverlap="1" wp14:anchorId="1C1FAB51" wp14:editId="05FBFB60">
          <wp:simplePos x="0" y="0"/>
          <wp:positionH relativeFrom="column">
            <wp:posOffset>5</wp:posOffset>
          </wp:positionH>
          <wp:positionV relativeFrom="paragraph">
            <wp:posOffset>95250</wp:posOffset>
          </wp:positionV>
          <wp:extent cx="5143500" cy="800100"/>
          <wp:effectExtent l="0" t="0" r="0" b="0"/>
          <wp:wrapSquare wrapText="bothSides" distT="0" distB="0" distL="114300" distR="11430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5143500" cy="800100"/>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45A13C" w14:textId="77777777" w:rsidR="003801C0" w:rsidRDefault="003801C0">
      <w:pPr>
        <w:spacing w:after="0" w:line="240" w:lineRule="auto"/>
      </w:pPr>
      <w:r>
        <w:separator/>
      </w:r>
    </w:p>
  </w:footnote>
  <w:footnote w:type="continuationSeparator" w:id="0">
    <w:p w14:paraId="618F227B" w14:textId="77777777" w:rsidR="003801C0" w:rsidRDefault="003801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C6D06A" w14:textId="441DD975" w:rsidR="006919AE" w:rsidRDefault="002A552A" w:rsidP="110633E4">
    <w:pPr>
      <w:pBdr>
        <w:top w:val="nil"/>
        <w:left w:val="nil"/>
        <w:bottom w:val="nil"/>
        <w:right w:val="nil"/>
        <w:between w:val="nil"/>
      </w:pBdr>
      <w:tabs>
        <w:tab w:val="center" w:pos="4419"/>
        <w:tab w:val="right" w:pos="8838"/>
      </w:tabs>
      <w:spacing w:after="0" w:line="240" w:lineRule="auto"/>
      <w:jc w:val="right"/>
      <w:rPr>
        <w:color w:val="000000" w:themeColor="text1"/>
      </w:rPr>
    </w:pPr>
    <w:r>
      <w:rPr>
        <w:noProof/>
      </w:rPr>
      <w:drawing>
        <wp:anchor distT="0" distB="0" distL="114300" distR="114300" simplePos="0" relativeHeight="251658240" behindDoc="0" locked="0" layoutInCell="1" hidden="0" allowOverlap="1" wp14:anchorId="599AA03D" wp14:editId="1C0237B4">
          <wp:simplePos x="0" y="0"/>
          <wp:positionH relativeFrom="column">
            <wp:posOffset>2648267</wp:posOffset>
          </wp:positionH>
          <wp:positionV relativeFrom="paragraph">
            <wp:posOffset>111760</wp:posOffset>
          </wp:positionV>
          <wp:extent cx="675005" cy="587375"/>
          <wp:effectExtent l="0" t="0" r="0" b="0"/>
          <wp:wrapSquare wrapText="bothSides" distT="0" distB="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75005" cy="587375"/>
                  </a:xfrm>
                  <a:prstGeom prst="rect">
                    <a:avLst/>
                  </a:prstGeom>
                  <a:ln/>
                </pic:spPr>
              </pic:pic>
            </a:graphicData>
          </a:graphic>
        </wp:anchor>
      </w:drawing>
    </w:r>
    <w:r>
      <w:rPr>
        <w:color w:val="000000"/>
      </w:rPr>
      <w:tab/>
    </w:r>
    <w:r w:rsidR="110633E4" w:rsidRPr="110633E4">
      <w:rPr>
        <w:rFonts w:ascii="Work Sans" w:eastAsia="Work Sans" w:hAnsi="Work Sans" w:cs="Work Sans"/>
        <w:color w:val="000000" w:themeColor="text1"/>
        <w:sz w:val="18"/>
        <w:szCs w:val="18"/>
      </w:rPr>
      <w:t xml:space="preserve">Página </w:t>
    </w:r>
    <w:r w:rsidRPr="110633E4">
      <w:rPr>
        <w:rFonts w:ascii="Work Sans" w:eastAsia="Work Sans" w:hAnsi="Work Sans" w:cs="Work Sans"/>
        <w:b/>
        <w:bCs/>
        <w:noProof/>
        <w:color w:val="000000" w:themeColor="text1"/>
        <w:sz w:val="18"/>
        <w:szCs w:val="18"/>
      </w:rPr>
      <w:fldChar w:fldCharType="begin"/>
    </w:r>
    <w:r w:rsidRPr="110633E4">
      <w:rPr>
        <w:rFonts w:ascii="Work Sans" w:eastAsia="Work Sans" w:hAnsi="Work Sans" w:cs="Work Sans"/>
        <w:b/>
        <w:bCs/>
        <w:color w:val="000000" w:themeColor="text1"/>
        <w:sz w:val="18"/>
        <w:szCs w:val="18"/>
      </w:rPr>
      <w:instrText>PAGE</w:instrText>
    </w:r>
    <w:r w:rsidRPr="110633E4">
      <w:rPr>
        <w:rFonts w:ascii="Work Sans" w:eastAsia="Work Sans" w:hAnsi="Work Sans" w:cs="Work Sans"/>
        <w:b/>
        <w:bCs/>
        <w:color w:val="000000" w:themeColor="text1"/>
        <w:sz w:val="18"/>
        <w:szCs w:val="18"/>
      </w:rPr>
      <w:fldChar w:fldCharType="separate"/>
    </w:r>
    <w:r w:rsidR="110633E4" w:rsidRPr="110633E4">
      <w:rPr>
        <w:rFonts w:ascii="Work Sans" w:eastAsia="Work Sans" w:hAnsi="Work Sans" w:cs="Work Sans"/>
        <w:b/>
        <w:bCs/>
        <w:noProof/>
        <w:color w:val="000000" w:themeColor="text1"/>
        <w:sz w:val="18"/>
        <w:szCs w:val="18"/>
      </w:rPr>
      <w:t>1</w:t>
    </w:r>
    <w:r w:rsidRPr="110633E4">
      <w:rPr>
        <w:rFonts w:ascii="Work Sans" w:eastAsia="Work Sans" w:hAnsi="Work Sans" w:cs="Work Sans"/>
        <w:b/>
        <w:bCs/>
        <w:noProof/>
        <w:color w:val="000000" w:themeColor="text1"/>
        <w:sz w:val="18"/>
        <w:szCs w:val="18"/>
      </w:rPr>
      <w:fldChar w:fldCharType="end"/>
    </w:r>
    <w:r w:rsidR="110633E4" w:rsidRPr="110633E4">
      <w:rPr>
        <w:rFonts w:ascii="Work Sans" w:eastAsia="Work Sans" w:hAnsi="Work Sans" w:cs="Work Sans"/>
        <w:color w:val="000000" w:themeColor="text1"/>
        <w:sz w:val="18"/>
        <w:szCs w:val="18"/>
      </w:rPr>
      <w:t xml:space="preserve"> de </w:t>
    </w:r>
    <w:r w:rsidRPr="110633E4">
      <w:rPr>
        <w:rFonts w:ascii="Work Sans" w:eastAsia="Work Sans" w:hAnsi="Work Sans" w:cs="Work Sans"/>
        <w:b/>
        <w:bCs/>
        <w:noProof/>
        <w:color w:val="000000" w:themeColor="text1"/>
        <w:sz w:val="18"/>
        <w:szCs w:val="18"/>
      </w:rPr>
      <w:fldChar w:fldCharType="begin"/>
    </w:r>
    <w:r w:rsidRPr="110633E4">
      <w:rPr>
        <w:rFonts w:ascii="Work Sans" w:eastAsia="Work Sans" w:hAnsi="Work Sans" w:cs="Work Sans"/>
        <w:b/>
        <w:bCs/>
        <w:color w:val="000000" w:themeColor="text1"/>
        <w:sz w:val="18"/>
        <w:szCs w:val="18"/>
      </w:rPr>
      <w:instrText>NUMPAGES</w:instrText>
    </w:r>
    <w:r w:rsidRPr="110633E4">
      <w:rPr>
        <w:rFonts w:ascii="Work Sans" w:eastAsia="Work Sans" w:hAnsi="Work Sans" w:cs="Work Sans"/>
        <w:b/>
        <w:bCs/>
        <w:color w:val="000000" w:themeColor="text1"/>
        <w:sz w:val="18"/>
        <w:szCs w:val="18"/>
      </w:rPr>
      <w:fldChar w:fldCharType="separate"/>
    </w:r>
    <w:r w:rsidR="110633E4" w:rsidRPr="110633E4">
      <w:rPr>
        <w:rFonts w:ascii="Work Sans" w:eastAsia="Work Sans" w:hAnsi="Work Sans" w:cs="Work Sans"/>
        <w:b/>
        <w:bCs/>
        <w:noProof/>
        <w:color w:val="000000" w:themeColor="text1"/>
        <w:sz w:val="18"/>
        <w:szCs w:val="18"/>
      </w:rPr>
      <w:t>2</w:t>
    </w:r>
    <w:r w:rsidRPr="110633E4">
      <w:rPr>
        <w:rFonts w:ascii="Work Sans" w:eastAsia="Work Sans" w:hAnsi="Work Sans" w:cs="Work Sans"/>
        <w:b/>
        <w:bCs/>
        <w:noProof/>
        <w:color w:val="000000" w:themeColor="text1"/>
        <w:sz w:val="18"/>
        <w:szCs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56687"/>
    <w:multiLevelType w:val="multilevel"/>
    <w:tmpl w:val="23B2B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017AA2"/>
    <w:multiLevelType w:val="multilevel"/>
    <w:tmpl w:val="F8D49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89C2114"/>
    <w:multiLevelType w:val="hybridMultilevel"/>
    <w:tmpl w:val="AC246982"/>
    <w:lvl w:ilvl="0" w:tplc="3F62EC0E">
      <w:start w:val="1"/>
      <w:numFmt w:val="bullet"/>
      <w:lvlText w:val=""/>
      <w:lvlJc w:val="left"/>
      <w:pPr>
        <w:ind w:left="720" w:hanging="360"/>
      </w:pPr>
      <w:rPr>
        <w:rFonts w:ascii="Symbol" w:hAnsi="Symbol" w:hint="default"/>
      </w:rPr>
    </w:lvl>
    <w:lvl w:ilvl="1" w:tplc="902C6A38">
      <w:start w:val="1"/>
      <w:numFmt w:val="bullet"/>
      <w:lvlText w:val="o"/>
      <w:lvlJc w:val="left"/>
      <w:pPr>
        <w:ind w:left="1440" w:hanging="360"/>
      </w:pPr>
      <w:rPr>
        <w:rFonts w:ascii="Courier New" w:hAnsi="Courier New" w:hint="default"/>
      </w:rPr>
    </w:lvl>
    <w:lvl w:ilvl="2" w:tplc="73668602">
      <w:start w:val="1"/>
      <w:numFmt w:val="bullet"/>
      <w:lvlText w:val=""/>
      <w:lvlJc w:val="left"/>
      <w:pPr>
        <w:ind w:left="2160" w:hanging="360"/>
      </w:pPr>
      <w:rPr>
        <w:rFonts w:ascii="Wingdings" w:hAnsi="Wingdings" w:hint="default"/>
      </w:rPr>
    </w:lvl>
    <w:lvl w:ilvl="3" w:tplc="A1DE586E">
      <w:start w:val="1"/>
      <w:numFmt w:val="bullet"/>
      <w:lvlText w:val=""/>
      <w:lvlJc w:val="left"/>
      <w:pPr>
        <w:ind w:left="2880" w:hanging="360"/>
      </w:pPr>
      <w:rPr>
        <w:rFonts w:ascii="Symbol" w:hAnsi="Symbol" w:hint="default"/>
      </w:rPr>
    </w:lvl>
    <w:lvl w:ilvl="4" w:tplc="C7BAC0D4">
      <w:start w:val="1"/>
      <w:numFmt w:val="bullet"/>
      <w:lvlText w:val="o"/>
      <w:lvlJc w:val="left"/>
      <w:pPr>
        <w:ind w:left="3600" w:hanging="360"/>
      </w:pPr>
      <w:rPr>
        <w:rFonts w:ascii="Courier New" w:hAnsi="Courier New" w:hint="default"/>
      </w:rPr>
    </w:lvl>
    <w:lvl w:ilvl="5" w:tplc="0592190E">
      <w:start w:val="1"/>
      <w:numFmt w:val="bullet"/>
      <w:lvlText w:val=""/>
      <w:lvlJc w:val="left"/>
      <w:pPr>
        <w:ind w:left="4320" w:hanging="360"/>
      </w:pPr>
      <w:rPr>
        <w:rFonts w:ascii="Wingdings" w:hAnsi="Wingdings" w:hint="default"/>
      </w:rPr>
    </w:lvl>
    <w:lvl w:ilvl="6" w:tplc="96361ACC">
      <w:start w:val="1"/>
      <w:numFmt w:val="bullet"/>
      <w:lvlText w:val=""/>
      <w:lvlJc w:val="left"/>
      <w:pPr>
        <w:ind w:left="5040" w:hanging="360"/>
      </w:pPr>
      <w:rPr>
        <w:rFonts w:ascii="Symbol" w:hAnsi="Symbol" w:hint="default"/>
      </w:rPr>
    </w:lvl>
    <w:lvl w:ilvl="7" w:tplc="86FAC48A">
      <w:start w:val="1"/>
      <w:numFmt w:val="bullet"/>
      <w:lvlText w:val="o"/>
      <w:lvlJc w:val="left"/>
      <w:pPr>
        <w:ind w:left="5760" w:hanging="360"/>
      </w:pPr>
      <w:rPr>
        <w:rFonts w:ascii="Courier New" w:hAnsi="Courier New" w:hint="default"/>
      </w:rPr>
    </w:lvl>
    <w:lvl w:ilvl="8" w:tplc="938250A4">
      <w:start w:val="1"/>
      <w:numFmt w:val="bullet"/>
      <w:lvlText w:val=""/>
      <w:lvlJc w:val="left"/>
      <w:pPr>
        <w:ind w:left="6480" w:hanging="360"/>
      </w:pPr>
      <w:rPr>
        <w:rFonts w:ascii="Wingdings" w:hAnsi="Wingdings" w:hint="default"/>
      </w:rPr>
    </w:lvl>
  </w:abstractNum>
  <w:abstractNum w:abstractNumId="3" w15:restartNumberingAfterBreak="0">
    <w:nsid w:val="094AB81D"/>
    <w:multiLevelType w:val="hybridMultilevel"/>
    <w:tmpl w:val="631CBEB4"/>
    <w:lvl w:ilvl="0" w:tplc="7A0EF0CA">
      <w:start w:val="1"/>
      <w:numFmt w:val="bullet"/>
      <w:lvlText w:val=""/>
      <w:lvlJc w:val="left"/>
      <w:pPr>
        <w:ind w:left="720" w:hanging="360"/>
      </w:pPr>
      <w:rPr>
        <w:rFonts w:ascii="Symbol" w:hAnsi="Symbol" w:hint="default"/>
      </w:rPr>
    </w:lvl>
    <w:lvl w:ilvl="1" w:tplc="00D076EA">
      <w:start w:val="1"/>
      <w:numFmt w:val="bullet"/>
      <w:lvlText w:val="o"/>
      <w:lvlJc w:val="left"/>
      <w:pPr>
        <w:ind w:left="1440" w:hanging="360"/>
      </w:pPr>
      <w:rPr>
        <w:rFonts w:ascii="Courier New" w:hAnsi="Courier New" w:hint="default"/>
      </w:rPr>
    </w:lvl>
    <w:lvl w:ilvl="2" w:tplc="80501B08">
      <w:start w:val="1"/>
      <w:numFmt w:val="bullet"/>
      <w:lvlText w:val=""/>
      <w:lvlJc w:val="left"/>
      <w:pPr>
        <w:ind w:left="2160" w:hanging="360"/>
      </w:pPr>
      <w:rPr>
        <w:rFonts w:ascii="Wingdings" w:hAnsi="Wingdings" w:hint="default"/>
      </w:rPr>
    </w:lvl>
    <w:lvl w:ilvl="3" w:tplc="4672DA86">
      <w:start w:val="1"/>
      <w:numFmt w:val="bullet"/>
      <w:lvlText w:val=""/>
      <w:lvlJc w:val="left"/>
      <w:pPr>
        <w:ind w:left="2880" w:hanging="360"/>
      </w:pPr>
      <w:rPr>
        <w:rFonts w:ascii="Symbol" w:hAnsi="Symbol" w:hint="default"/>
      </w:rPr>
    </w:lvl>
    <w:lvl w:ilvl="4" w:tplc="D19E39EC">
      <w:start w:val="1"/>
      <w:numFmt w:val="bullet"/>
      <w:lvlText w:val="o"/>
      <w:lvlJc w:val="left"/>
      <w:pPr>
        <w:ind w:left="3600" w:hanging="360"/>
      </w:pPr>
      <w:rPr>
        <w:rFonts w:ascii="Courier New" w:hAnsi="Courier New" w:hint="default"/>
      </w:rPr>
    </w:lvl>
    <w:lvl w:ilvl="5" w:tplc="5E9AC002">
      <w:start w:val="1"/>
      <w:numFmt w:val="bullet"/>
      <w:lvlText w:val=""/>
      <w:lvlJc w:val="left"/>
      <w:pPr>
        <w:ind w:left="4320" w:hanging="360"/>
      </w:pPr>
      <w:rPr>
        <w:rFonts w:ascii="Wingdings" w:hAnsi="Wingdings" w:hint="default"/>
      </w:rPr>
    </w:lvl>
    <w:lvl w:ilvl="6" w:tplc="A7CA7578">
      <w:start w:val="1"/>
      <w:numFmt w:val="bullet"/>
      <w:lvlText w:val=""/>
      <w:lvlJc w:val="left"/>
      <w:pPr>
        <w:ind w:left="5040" w:hanging="360"/>
      </w:pPr>
      <w:rPr>
        <w:rFonts w:ascii="Symbol" w:hAnsi="Symbol" w:hint="default"/>
      </w:rPr>
    </w:lvl>
    <w:lvl w:ilvl="7" w:tplc="E65C0B2E">
      <w:start w:val="1"/>
      <w:numFmt w:val="bullet"/>
      <w:lvlText w:val="o"/>
      <w:lvlJc w:val="left"/>
      <w:pPr>
        <w:ind w:left="5760" w:hanging="360"/>
      </w:pPr>
      <w:rPr>
        <w:rFonts w:ascii="Courier New" w:hAnsi="Courier New" w:hint="default"/>
      </w:rPr>
    </w:lvl>
    <w:lvl w:ilvl="8" w:tplc="38D0F3BC">
      <w:start w:val="1"/>
      <w:numFmt w:val="bullet"/>
      <w:lvlText w:val=""/>
      <w:lvlJc w:val="left"/>
      <w:pPr>
        <w:ind w:left="6480" w:hanging="360"/>
      </w:pPr>
      <w:rPr>
        <w:rFonts w:ascii="Wingdings" w:hAnsi="Wingdings" w:hint="default"/>
      </w:rPr>
    </w:lvl>
  </w:abstractNum>
  <w:abstractNum w:abstractNumId="4" w15:restartNumberingAfterBreak="0">
    <w:nsid w:val="09C02940"/>
    <w:multiLevelType w:val="multilevel"/>
    <w:tmpl w:val="7DF817B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A1B2883"/>
    <w:multiLevelType w:val="hybridMultilevel"/>
    <w:tmpl w:val="81AAFFC4"/>
    <w:lvl w:ilvl="0" w:tplc="A03E0716">
      <w:start w:val="1"/>
      <w:numFmt w:val="decimal"/>
      <w:lvlText w:val="%1."/>
      <w:lvlJc w:val="left"/>
      <w:pPr>
        <w:ind w:left="720" w:hanging="360"/>
      </w:pPr>
    </w:lvl>
    <w:lvl w:ilvl="1" w:tplc="237C9000">
      <w:start w:val="1"/>
      <w:numFmt w:val="lowerLetter"/>
      <w:lvlText w:val="%2."/>
      <w:lvlJc w:val="left"/>
      <w:pPr>
        <w:ind w:left="1440" w:hanging="360"/>
      </w:pPr>
    </w:lvl>
    <w:lvl w:ilvl="2" w:tplc="BD9CAD0C">
      <w:start w:val="1"/>
      <w:numFmt w:val="lowerRoman"/>
      <w:lvlText w:val="%3."/>
      <w:lvlJc w:val="right"/>
      <w:pPr>
        <w:ind w:left="2160" w:hanging="180"/>
      </w:pPr>
    </w:lvl>
    <w:lvl w:ilvl="3" w:tplc="1B5C029C">
      <w:start w:val="1"/>
      <w:numFmt w:val="decimal"/>
      <w:lvlText w:val="%4."/>
      <w:lvlJc w:val="left"/>
      <w:pPr>
        <w:ind w:left="2880" w:hanging="360"/>
      </w:pPr>
    </w:lvl>
    <w:lvl w:ilvl="4" w:tplc="5C50E3A0">
      <w:start w:val="1"/>
      <w:numFmt w:val="lowerLetter"/>
      <w:lvlText w:val="%5."/>
      <w:lvlJc w:val="left"/>
      <w:pPr>
        <w:ind w:left="3600" w:hanging="360"/>
      </w:pPr>
    </w:lvl>
    <w:lvl w:ilvl="5" w:tplc="FFA61AF6">
      <w:start w:val="1"/>
      <w:numFmt w:val="lowerRoman"/>
      <w:lvlText w:val="%6."/>
      <w:lvlJc w:val="right"/>
      <w:pPr>
        <w:ind w:left="4320" w:hanging="180"/>
      </w:pPr>
    </w:lvl>
    <w:lvl w:ilvl="6" w:tplc="D5523276">
      <w:start w:val="1"/>
      <w:numFmt w:val="decimal"/>
      <w:lvlText w:val="%7."/>
      <w:lvlJc w:val="left"/>
      <w:pPr>
        <w:ind w:left="5040" w:hanging="360"/>
      </w:pPr>
    </w:lvl>
    <w:lvl w:ilvl="7" w:tplc="3F48F908">
      <w:start w:val="1"/>
      <w:numFmt w:val="lowerLetter"/>
      <w:lvlText w:val="%8."/>
      <w:lvlJc w:val="left"/>
      <w:pPr>
        <w:ind w:left="5760" w:hanging="360"/>
      </w:pPr>
    </w:lvl>
    <w:lvl w:ilvl="8" w:tplc="564AE5BE">
      <w:start w:val="1"/>
      <w:numFmt w:val="lowerRoman"/>
      <w:lvlText w:val="%9."/>
      <w:lvlJc w:val="right"/>
      <w:pPr>
        <w:ind w:left="6480" w:hanging="180"/>
      </w:pPr>
    </w:lvl>
  </w:abstractNum>
  <w:abstractNum w:abstractNumId="6" w15:restartNumberingAfterBreak="0">
    <w:nsid w:val="0ABA2E7F"/>
    <w:multiLevelType w:val="multilevel"/>
    <w:tmpl w:val="FA927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DF65592"/>
    <w:multiLevelType w:val="multilevel"/>
    <w:tmpl w:val="38822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1A17F5E"/>
    <w:multiLevelType w:val="multilevel"/>
    <w:tmpl w:val="0BD0B00C"/>
    <w:lvl w:ilvl="0">
      <w:start w:val="9"/>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11DA1103"/>
    <w:multiLevelType w:val="multilevel"/>
    <w:tmpl w:val="8E5E4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21867CF"/>
    <w:multiLevelType w:val="multilevel"/>
    <w:tmpl w:val="7F7EA19E"/>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 w15:restartNumberingAfterBreak="0">
    <w:nsid w:val="12B301FC"/>
    <w:multiLevelType w:val="multilevel"/>
    <w:tmpl w:val="922AC5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52C6D6A"/>
    <w:multiLevelType w:val="hybridMultilevel"/>
    <w:tmpl w:val="A80A35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158703A1"/>
    <w:multiLevelType w:val="multilevel"/>
    <w:tmpl w:val="D9AAF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5E63AE6"/>
    <w:multiLevelType w:val="hybridMultilevel"/>
    <w:tmpl w:val="8312CC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194D44B2"/>
    <w:multiLevelType w:val="multilevel"/>
    <w:tmpl w:val="21DC4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AF15590"/>
    <w:multiLevelType w:val="multilevel"/>
    <w:tmpl w:val="6678A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B665DED"/>
    <w:multiLevelType w:val="hybridMultilevel"/>
    <w:tmpl w:val="384894B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1BB64E50"/>
    <w:multiLevelType w:val="multilevel"/>
    <w:tmpl w:val="4A24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22057D8"/>
    <w:multiLevelType w:val="multilevel"/>
    <w:tmpl w:val="8F0E8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26E0B36"/>
    <w:multiLevelType w:val="multilevel"/>
    <w:tmpl w:val="78FAA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2E319A1"/>
    <w:multiLevelType w:val="multilevel"/>
    <w:tmpl w:val="EB723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54B55A9"/>
    <w:multiLevelType w:val="multilevel"/>
    <w:tmpl w:val="F510E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67F09B8"/>
    <w:multiLevelType w:val="multilevel"/>
    <w:tmpl w:val="1CF4FC0A"/>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 w15:restartNumberingAfterBreak="0">
    <w:nsid w:val="27EC33DF"/>
    <w:multiLevelType w:val="multilevel"/>
    <w:tmpl w:val="43CAF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90F69DF"/>
    <w:multiLevelType w:val="hybridMultilevel"/>
    <w:tmpl w:val="BABE7F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307E0789"/>
    <w:multiLevelType w:val="multilevel"/>
    <w:tmpl w:val="914A70E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32A35E0E"/>
    <w:multiLevelType w:val="multilevel"/>
    <w:tmpl w:val="F716C946"/>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 w15:restartNumberingAfterBreak="0">
    <w:nsid w:val="32B15C2B"/>
    <w:multiLevelType w:val="multilevel"/>
    <w:tmpl w:val="69D80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3237697"/>
    <w:multiLevelType w:val="multilevel"/>
    <w:tmpl w:val="A20E9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66630E5"/>
    <w:multiLevelType w:val="multilevel"/>
    <w:tmpl w:val="DDA23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6C26426"/>
    <w:multiLevelType w:val="multilevel"/>
    <w:tmpl w:val="8B82A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92B5753"/>
    <w:multiLevelType w:val="multilevel"/>
    <w:tmpl w:val="C3FAF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AF75F56"/>
    <w:multiLevelType w:val="multilevel"/>
    <w:tmpl w:val="7400B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3C6240E5"/>
    <w:multiLevelType w:val="multilevel"/>
    <w:tmpl w:val="8EFE1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0537488"/>
    <w:multiLevelType w:val="multilevel"/>
    <w:tmpl w:val="871CA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3AA1EF0"/>
    <w:multiLevelType w:val="multilevel"/>
    <w:tmpl w:val="23F00CC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 w15:restartNumberingAfterBreak="0">
    <w:nsid w:val="462D6B36"/>
    <w:multiLevelType w:val="multilevel"/>
    <w:tmpl w:val="84F6704E"/>
    <w:lvl w:ilvl="0">
      <w:start w:val="8"/>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 w15:restartNumberingAfterBreak="0">
    <w:nsid w:val="46AC0740"/>
    <w:multiLevelType w:val="multilevel"/>
    <w:tmpl w:val="C36A7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7971D85"/>
    <w:multiLevelType w:val="multilevel"/>
    <w:tmpl w:val="4C4EA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8720AAC"/>
    <w:multiLevelType w:val="multilevel"/>
    <w:tmpl w:val="482E5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4C3A11F9"/>
    <w:multiLevelType w:val="multilevel"/>
    <w:tmpl w:val="7B7806FC"/>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F9B251A"/>
    <w:multiLevelType w:val="multilevel"/>
    <w:tmpl w:val="0DD86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02016A9"/>
    <w:multiLevelType w:val="multilevel"/>
    <w:tmpl w:val="154C5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53AB1B73"/>
    <w:multiLevelType w:val="multilevel"/>
    <w:tmpl w:val="89725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549B0391"/>
    <w:multiLevelType w:val="hybridMultilevel"/>
    <w:tmpl w:val="B5FE6B56"/>
    <w:lvl w:ilvl="0" w:tplc="58368C94">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6" w15:restartNumberingAfterBreak="0">
    <w:nsid w:val="57BC225D"/>
    <w:multiLevelType w:val="hybridMultilevel"/>
    <w:tmpl w:val="23D62CBE"/>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7" w15:restartNumberingAfterBreak="0">
    <w:nsid w:val="57DD72F7"/>
    <w:multiLevelType w:val="multilevel"/>
    <w:tmpl w:val="586211B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59BE2215"/>
    <w:multiLevelType w:val="multilevel"/>
    <w:tmpl w:val="5C9C5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5BA64B25"/>
    <w:multiLevelType w:val="multilevel"/>
    <w:tmpl w:val="F9944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5E7E6408"/>
    <w:multiLevelType w:val="multilevel"/>
    <w:tmpl w:val="89142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635A3830"/>
    <w:multiLevelType w:val="multilevel"/>
    <w:tmpl w:val="94AAA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64B0792B"/>
    <w:multiLevelType w:val="multilevel"/>
    <w:tmpl w:val="5D54B58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 w15:restartNumberingAfterBreak="0">
    <w:nsid w:val="652E677B"/>
    <w:multiLevelType w:val="multilevel"/>
    <w:tmpl w:val="48BA6B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66DC5E36"/>
    <w:multiLevelType w:val="multilevel"/>
    <w:tmpl w:val="2AF66E44"/>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 w15:restartNumberingAfterBreak="0">
    <w:nsid w:val="675C1042"/>
    <w:multiLevelType w:val="multilevel"/>
    <w:tmpl w:val="D0FA9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98615A6"/>
    <w:multiLevelType w:val="multilevel"/>
    <w:tmpl w:val="5218C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AB03776"/>
    <w:multiLevelType w:val="multilevel"/>
    <w:tmpl w:val="E1306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6FAB79D2"/>
    <w:multiLevelType w:val="hybridMultilevel"/>
    <w:tmpl w:val="08EE117E"/>
    <w:lvl w:ilvl="0" w:tplc="76EE2D74">
      <w:start w:val="1"/>
      <w:numFmt w:val="bullet"/>
      <w:lvlText w:val=""/>
      <w:lvlJc w:val="left"/>
      <w:pPr>
        <w:ind w:left="720" w:hanging="360"/>
      </w:pPr>
      <w:rPr>
        <w:rFonts w:ascii="Symbol" w:hAnsi="Symbol" w:hint="default"/>
      </w:rPr>
    </w:lvl>
    <w:lvl w:ilvl="1" w:tplc="3788E91E">
      <w:start w:val="1"/>
      <w:numFmt w:val="bullet"/>
      <w:lvlText w:val="o"/>
      <w:lvlJc w:val="left"/>
      <w:pPr>
        <w:ind w:left="1440" w:hanging="360"/>
      </w:pPr>
      <w:rPr>
        <w:rFonts w:ascii="Courier New" w:hAnsi="Courier New" w:hint="default"/>
      </w:rPr>
    </w:lvl>
    <w:lvl w:ilvl="2" w:tplc="EA929400">
      <w:start w:val="1"/>
      <w:numFmt w:val="bullet"/>
      <w:lvlText w:val=""/>
      <w:lvlJc w:val="left"/>
      <w:pPr>
        <w:ind w:left="2160" w:hanging="360"/>
      </w:pPr>
      <w:rPr>
        <w:rFonts w:ascii="Wingdings" w:hAnsi="Wingdings" w:hint="default"/>
      </w:rPr>
    </w:lvl>
    <w:lvl w:ilvl="3" w:tplc="4B1CF6EE">
      <w:start w:val="1"/>
      <w:numFmt w:val="bullet"/>
      <w:lvlText w:val=""/>
      <w:lvlJc w:val="left"/>
      <w:pPr>
        <w:ind w:left="2880" w:hanging="360"/>
      </w:pPr>
      <w:rPr>
        <w:rFonts w:ascii="Symbol" w:hAnsi="Symbol" w:hint="default"/>
      </w:rPr>
    </w:lvl>
    <w:lvl w:ilvl="4" w:tplc="C2EE9502">
      <w:start w:val="1"/>
      <w:numFmt w:val="bullet"/>
      <w:lvlText w:val="o"/>
      <w:lvlJc w:val="left"/>
      <w:pPr>
        <w:ind w:left="3600" w:hanging="360"/>
      </w:pPr>
      <w:rPr>
        <w:rFonts w:ascii="Courier New" w:hAnsi="Courier New" w:hint="default"/>
      </w:rPr>
    </w:lvl>
    <w:lvl w:ilvl="5" w:tplc="0478BA3E">
      <w:start w:val="1"/>
      <w:numFmt w:val="bullet"/>
      <w:lvlText w:val=""/>
      <w:lvlJc w:val="left"/>
      <w:pPr>
        <w:ind w:left="4320" w:hanging="360"/>
      </w:pPr>
      <w:rPr>
        <w:rFonts w:ascii="Wingdings" w:hAnsi="Wingdings" w:hint="default"/>
      </w:rPr>
    </w:lvl>
    <w:lvl w:ilvl="6" w:tplc="6FB86110">
      <w:start w:val="1"/>
      <w:numFmt w:val="bullet"/>
      <w:lvlText w:val=""/>
      <w:lvlJc w:val="left"/>
      <w:pPr>
        <w:ind w:left="5040" w:hanging="360"/>
      </w:pPr>
      <w:rPr>
        <w:rFonts w:ascii="Symbol" w:hAnsi="Symbol" w:hint="default"/>
      </w:rPr>
    </w:lvl>
    <w:lvl w:ilvl="7" w:tplc="0414ED5A">
      <w:start w:val="1"/>
      <w:numFmt w:val="bullet"/>
      <w:lvlText w:val="o"/>
      <w:lvlJc w:val="left"/>
      <w:pPr>
        <w:ind w:left="5760" w:hanging="360"/>
      </w:pPr>
      <w:rPr>
        <w:rFonts w:ascii="Courier New" w:hAnsi="Courier New" w:hint="default"/>
      </w:rPr>
    </w:lvl>
    <w:lvl w:ilvl="8" w:tplc="2892DBB6">
      <w:start w:val="1"/>
      <w:numFmt w:val="bullet"/>
      <w:lvlText w:val=""/>
      <w:lvlJc w:val="left"/>
      <w:pPr>
        <w:ind w:left="6480" w:hanging="360"/>
      </w:pPr>
      <w:rPr>
        <w:rFonts w:ascii="Wingdings" w:hAnsi="Wingdings" w:hint="default"/>
      </w:rPr>
    </w:lvl>
  </w:abstractNum>
  <w:abstractNum w:abstractNumId="59" w15:restartNumberingAfterBreak="0">
    <w:nsid w:val="6FBE2EDD"/>
    <w:multiLevelType w:val="hybridMultilevel"/>
    <w:tmpl w:val="403A8360"/>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0" w15:restartNumberingAfterBreak="0">
    <w:nsid w:val="7272480F"/>
    <w:multiLevelType w:val="multilevel"/>
    <w:tmpl w:val="4888F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76DA4D43"/>
    <w:multiLevelType w:val="multilevel"/>
    <w:tmpl w:val="A5FC3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6F7358C"/>
    <w:multiLevelType w:val="multilevel"/>
    <w:tmpl w:val="DFD4807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77704713"/>
    <w:multiLevelType w:val="multilevel"/>
    <w:tmpl w:val="EE6A0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79395F4B"/>
    <w:multiLevelType w:val="hybridMultilevel"/>
    <w:tmpl w:val="3BE89B5E"/>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5" w15:restartNumberingAfterBreak="0">
    <w:nsid w:val="79CB2067"/>
    <w:multiLevelType w:val="multilevel"/>
    <w:tmpl w:val="33384D1C"/>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7B664B7B"/>
    <w:multiLevelType w:val="multilevel"/>
    <w:tmpl w:val="EF6226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7E9D2B57"/>
    <w:multiLevelType w:val="multilevel"/>
    <w:tmpl w:val="A4607988"/>
    <w:lvl w:ilvl="0">
      <w:start w:val="10"/>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8" w15:restartNumberingAfterBreak="0">
    <w:nsid w:val="7FF350FE"/>
    <w:multiLevelType w:val="multilevel"/>
    <w:tmpl w:val="C874862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abstractNumId w:val="2"/>
  </w:num>
  <w:num w:numId="2">
    <w:abstractNumId w:val="58"/>
  </w:num>
  <w:num w:numId="3">
    <w:abstractNumId w:val="3"/>
  </w:num>
  <w:num w:numId="4">
    <w:abstractNumId w:val="45"/>
  </w:num>
  <w:num w:numId="5">
    <w:abstractNumId w:val="41"/>
  </w:num>
  <w:num w:numId="6">
    <w:abstractNumId w:val="28"/>
  </w:num>
  <w:num w:numId="7">
    <w:abstractNumId w:val="56"/>
  </w:num>
  <w:num w:numId="8">
    <w:abstractNumId w:val="22"/>
  </w:num>
  <w:num w:numId="9">
    <w:abstractNumId w:val="49"/>
  </w:num>
  <w:num w:numId="10">
    <w:abstractNumId w:val="35"/>
  </w:num>
  <w:num w:numId="11">
    <w:abstractNumId w:val="60"/>
  </w:num>
  <w:num w:numId="12">
    <w:abstractNumId w:val="9"/>
  </w:num>
  <w:num w:numId="13">
    <w:abstractNumId w:val="42"/>
  </w:num>
  <w:num w:numId="14">
    <w:abstractNumId w:val="34"/>
  </w:num>
  <w:num w:numId="15">
    <w:abstractNumId w:val="30"/>
  </w:num>
  <w:num w:numId="16">
    <w:abstractNumId w:val="51"/>
  </w:num>
  <w:num w:numId="17">
    <w:abstractNumId w:val="63"/>
  </w:num>
  <w:num w:numId="18">
    <w:abstractNumId w:val="33"/>
  </w:num>
  <w:num w:numId="19">
    <w:abstractNumId w:val="11"/>
  </w:num>
  <w:num w:numId="20">
    <w:abstractNumId w:val="55"/>
  </w:num>
  <w:num w:numId="21">
    <w:abstractNumId w:val="48"/>
  </w:num>
  <w:num w:numId="22">
    <w:abstractNumId w:val="50"/>
  </w:num>
  <w:num w:numId="23">
    <w:abstractNumId w:val="32"/>
  </w:num>
  <w:num w:numId="24">
    <w:abstractNumId w:val="68"/>
  </w:num>
  <w:num w:numId="25">
    <w:abstractNumId w:val="52"/>
  </w:num>
  <w:num w:numId="26">
    <w:abstractNumId w:val="36"/>
  </w:num>
  <w:num w:numId="27">
    <w:abstractNumId w:val="54"/>
  </w:num>
  <w:num w:numId="28">
    <w:abstractNumId w:val="27"/>
  </w:num>
  <w:num w:numId="29">
    <w:abstractNumId w:val="23"/>
  </w:num>
  <w:num w:numId="30">
    <w:abstractNumId w:val="10"/>
  </w:num>
  <w:num w:numId="31">
    <w:abstractNumId w:val="37"/>
  </w:num>
  <w:num w:numId="32">
    <w:abstractNumId w:val="8"/>
  </w:num>
  <w:num w:numId="33">
    <w:abstractNumId w:val="67"/>
  </w:num>
  <w:num w:numId="34">
    <w:abstractNumId w:val="21"/>
  </w:num>
  <w:num w:numId="35">
    <w:abstractNumId w:val="29"/>
  </w:num>
  <w:num w:numId="36">
    <w:abstractNumId w:val="1"/>
  </w:num>
  <w:num w:numId="37">
    <w:abstractNumId w:val="40"/>
  </w:num>
  <w:num w:numId="38">
    <w:abstractNumId w:val="31"/>
  </w:num>
  <w:num w:numId="39">
    <w:abstractNumId w:val="20"/>
  </w:num>
  <w:num w:numId="40">
    <w:abstractNumId w:val="13"/>
  </w:num>
  <w:num w:numId="41">
    <w:abstractNumId w:val="44"/>
  </w:num>
  <w:num w:numId="42">
    <w:abstractNumId w:val="65"/>
  </w:num>
  <w:num w:numId="43">
    <w:abstractNumId w:val="61"/>
  </w:num>
  <w:num w:numId="44">
    <w:abstractNumId w:val="19"/>
  </w:num>
  <w:num w:numId="45">
    <w:abstractNumId w:val="38"/>
  </w:num>
  <w:num w:numId="46">
    <w:abstractNumId w:val="53"/>
  </w:num>
  <w:num w:numId="47">
    <w:abstractNumId w:val="43"/>
  </w:num>
  <w:num w:numId="48">
    <w:abstractNumId w:val="16"/>
  </w:num>
  <w:num w:numId="49">
    <w:abstractNumId w:val="6"/>
  </w:num>
  <w:num w:numId="50">
    <w:abstractNumId w:val="39"/>
  </w:num>
  <w:num w:numId="51">
    <w:abstractNumId w:val="7"/>
  </w:num>
  <w:num w:numId="52">
    <w:abstractNumId w:val="0"/>
  </w:num>
  <w:num w:numId="53">
    <w:abstractNumId w:val="66"/>
  </w:num>
  <w:num w:numId="54">
    <w:abstractNumId w:val="57"/>
  </w:num>
  <w:num w:numId="55">
    <w:abstractNumId w:val="24"/>
  </w:num>
  <w:num w:numId="56">
    <w:abstractNumId w:val="15"/>
  </w:num>
  <w:num w:numId="57">
    <w:abstractNumId w:val="18"/>
  </w:num>
  <w:num w:numId="58">
    <w:abstractNumId w:val="12"/>
  </w:num>
  <w:num w:numId="59">
    <w:abstractNumId w:val="59"/>
  </w:num>
  <w:num w:numId="60">
    <w:abstractNumId w:val="64"/>
  </w:num>
  <w:num w:numId="61">
    <w:abstractNumId w:val="17"/>
  </w:num>
  <w:num w:numId="62">
    <w:abstractNumId w:val="5"/>
  </w:num>
  <w:num w:numId="63">
    <w:abstractNumId w:val="26"/>
  </w:num>
  <w:num w:numId="64">
    <w:abstractNumId w:val="4"/>
  </w:num>
  <w:num w:numId="65">
    <w:abstractNumId w:val="46"/>
  </w:num>
  <w:num w:numId="66">
    <w:abstractNumId w:val="62"/>
  </w:num>
  <w:num w:numId="67">
    <w:abstractNumId w:val="47"/>
  </w:num>
  <w:num w:numId="68">
    <w:abstractNumId w:val="25"/>
  </w:num>
  <w:num w:numId="69">
    <w:abstractNumId w:val="14"/>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19AE"/>
    <w:rsid w:val="00005A98"/>
    <w:rsid w:val="000071FB"/>
    <w:rsid w:val="00023650"/>
    <w:rsid w:val="00023C84"/>
    <w:rsid w:val="0004327D"/>
    <w:rsid w:val="000552A5"/>
    <w:rsid w:val="00077D5B"/>
    <w:rsid w:val="00085EAF"/>
    <w:rsid w:val="00096E74"/>
    <w:rsid w:val="000A111C"/>
    <w:rsid w:val="000F370F"/>
    <w:rsid w:val="000F3B98"/>
    <w:rsid w:val="000F561E"/>
    <w:rsid w:val="0012723E"/>
    <w:rsid w:val="0013501D"/>
    <w:rsid w:val="00170613"/>
    <w:rsid w:val="001731AF"/>
    <w:rsid w:val="0018562D"/>
    <w:rsid w:val="00196FBD"/>
    <w:rsid w:val="001B1C96"/>
    <w:rsid w:val="001C2B56"/>
    <w:rsid w:val="001D4B0A"/>
    <w:rsid w:val="001F0772"/>
    <w:rsid w:val="001F4344"/>
    <w:rsid w:val="00200923"/>
    <w:rsid w:val="00211B30"/>
    <w:rsid w:val="0021792A"/>
    <w:rsid w:val="00222BBC"/>
    <w:rsid w:val="00224CD1"/>
    <w:rsid w:val="00235AF1"/>
    <w:rsid w:val="0024662A"/>
    <w:rsid w:val="00265FFE"/>
    <w:rsid w:val="00287D8C"/>
    <w:rsid w:val="002A552A"/>
    <w:rsid w:val="002B6930"/>
    <w:rsid w:val="003003CA"/>
    <w:rsid w:val="00313E51"/>
    <w:rsid w:val="00327875"/>
    <w:rsid w:val="00330F54"/>
    <w:rsid w:val="00336F09"/>
    <w:rsid w:val="003472B9"/>
    <w:rsid w:val="003801C0"/>
    <w:rsid w:val="003C0F50"/>
    <w:rsid w:val="003C35D3"/>
    <w:rsid w:val="003D6D42"/>
    <w:rsid w:val="003E7B6E"/>
    <w:rsid w:val="003F2617"/>
    <w:rsid w:val="00412AC1"/>
    <w:rsid w:val="00422C3B"/>
    <w:rsid w:val="00423BCB"/>
    <w:rsid w:val="004724DF"/>
    <w:rsid w:val="004A2C6E"/>
    <w:rsid w:val="004C1667"/>
    <w:rsid w:val="00504E8E"/>
    <w:rsid w:val="00514821"/>
    <w:rsid w:val="0053122B"/>
    <w:rsid w:val="00545A4F"/>
    <w:rsid w:val="005A6B01"/>
    <w:rsid w:val="005C3570"/>
    <w:rsid w:val="005D25B2"/>
    <w:rsid w:val="005D2615"/>
    <w:rsid w:val="005D3CED"/>
    <w:rsid w:val="006038F0"/>
    <w:rsid w:val="006118BC"/>
    <w:rsid w:val="00622B8B"/>
    <w:rsid w:val="006255C9"/>
    <w:rsid w:val="00643CB8"/>
    <w:rsid w:val="00647F3C"/>
    <w:rsid w:val="00655004"/>
    <w:rsid w:val="00687E40"/>
    <w:rsid w:val="006919AE"/>
    <w:rsid w:val="006A31BD"/>
    <w:rsid w:val="006E070A"/>
    <w:rsid w:val="006E1E21"/>
    <w:rsid w:val="00705597"/>
    <w:rsid w:val="00717B21"/>
    <w:rsid w:val="007430F3"/>
    <w:rsid w:val="00752F86"/>
    <w:rsid w:val="00776899"/>
    <w:rsid w:val="007A3DF3"/>
    <w:rsid w:val="007A680C"/>
    <w:rsid w:val="007C40C2"/>
    <w:rsid w:val="007E37C4"/>
    <w:rsid w:val="00866B5C"/>
    <w:rsid w:val="008A3904"/>
    <w:rsid w:val="008E6F77"/>
    <w:rsid w:val="009123DB"/>
    <w:rsid w:val="0094745D"/>
    <w:rsid w:val="00952D9B"/>
    <w:rsid w:val="00991203"/>
    <w:rsid w:val="0099186C"/>
    <w:rsid w:val="009A211A"/>
    <w:rsid w:val="009A3C8F"/>
    <w:rsid w:val="009B1480"/>
    <w:rsid w:val="009C1D2D"/>
    <w:rsid w:val="009F70C8"/>
    <w:rsid w:val="00A041DC"/>
    <w:rsid w:val="00A46096"/>
    <w:rsid w:val="00A96D18"/>
    <w:rsid w:val="00AB0EB4"/>
    <w:rsid w:val="00AC4AC3"/>
    <w:rsid w:val="00AD0792"/>
    <w:rsid w:val="00AD77F5"/>
    <w:rsid w:val="00AF6AD4"/>
    <w:rsid w:val="00B53DF2"/>
    <w:rsid w:val="00B676BC"/>
    <w:rsid w:val="00B81200"/>
    <w:rsid w:val="00B829C8"/>
    <w:rsid w:val="00BE7741"/>
    <w:rsid w:val="00C13438"/>
    <w:rsid w:val="00C50F13"/>
    <w:rsid w:val="00CB05B6"/>
    <w:rsid w:val="00CC192F"/>
    <w:rsid w:val="00CD0C90"/>
    <w:rsid w:val="00D077D9"/>
    <w:rsid w:val="00D111B6"/>
    <w:rsid w:val="00D15DAC"/>
    <w:rsid w:val="00D34F98"/>
    <w:rsid w:val="00D53221"/>
    <w:rsid w:val="00D60F0D"/>
    <w:rsid w:val="00D97E59"/>
    <w:rsid w:val="00DD57B0"/>
    <w:rsid w:val="00DF2FF3"/>
    <w:rsid w:val="00E1203D"/>
    <w:rsid w:val="00E21F8A"/>
    <w:rsid w:val="00E42434"/>
    <w:rsid w:val="00E5178E"/>
    <w:rsid w:val="00E63C4F"/>
    <w:rsid w:val="00E64675"/>
    <w:rsid w:val="00E7515A"/>
    <w:rsid w:val="00E84778"/>
    <w:rsid w:val="00EA7249"/>
    <w:rsid w:val="00EE3A38"/>
    <w:rsid w:val="00EE3BB8"/>
    <w:rsid w:val="00F44107"/>
    <w:rsid w:val="00F51464"/>
    <w:rsid w:val="00F641F8"/>
    <w:rsid w:val="00F711CD"/>
    <w:rsid w:val="00FC408E"/>
    <w:rsid w:val="00FF7AC3"/>
    <w:rsid w:val="0250B451"/>
    <w:rsid w:val="0457E9A3"/>
    <w:rsid w:val="052BD64F"/>
    <w:rsid w:val="070A7E66"/>
    <w:rsid w:val="08166334"/>
    <w:rsid w:val="09532510"/>
    <w:rsid w:val="0AD2735B"/>
    <w:rsid w:val="0C60A188"/>
    <w:rsid w:val="110633E4"/>
    <w:rsid w:val="1243538F"/>
    <w:rsid w:val="16A8616B"/>
    <w:rsid w:val="16C1116A"/>
    <w:rsid w:val="186B1812"/>
    <w:rsid w:val="18A6F7E8"/>
    <w:rsid w:val="18EFA6A8"/>
    <w:rsid w:val="198555DB"/>
    <w:rsid w:val="1A1E1B37"/>
    <w:rsid w:val="1A3AE3F3"/>
    <w:rsid w:val="1B5483A2"/>
    <w:rsid w:val="1E51DF5E"/>
    <w:rsid w:val="1E866460"/>
    <w:rsid w:val="21D4B72B"/>
    <w:rsid w:val="21E1C73D"/>
    <w:rsid w:val="22DD23B2"/>
    <w:rsid w:val="2321EE32"/>
    <w:rsid w:val="240F0943"/>
    <w:rsid w:val="24C8B100"/>
    <w:rsid w:val="255F679F"/>
    <w:rsid w:val="258A3FA6"/>
    <w:rsid w:val="271695AD"/>
    <w:rsid w:val="278B146B"/>
    <w:rsid w:val="2829D534"/>
    <w:rsid w:val="29155A59"/>
    <w:rsid w:val="29303894"/>
    <w:rsid w:val="2A306E59"/>
    <w:rsid w:val="2A8ACFB3"/>
    <w:rsid w:val="2BA05B4C"/>
    <w:rsid w:val="2C272B0A"/>
    <w:rsid w:val="2D8302B8"/>
    <w:rsid w:val="2F7C4203"/>
    <w:rsid w:val="31372A2A"/>
    <w:rsid w:val="31C5CEF0"/>
    <w:rsid w:val="33BBB8B2"/>
    <w:rsid w:val="35310928"/>
    <w:rsid w:val="35CBBD83"/>
    <w:rsid w:val="37252DD7"/>
    <w:rsid w:val="377B554C"/>
    <w:rsid w:val="3A6CB8C4"/>
    <w:rsid w:val="3AA11E24"/>
    <w:rsid w:val="3ACE0158"/>
    <w:rsid w:val="3D54507F"/>
    <w:rsid w:val="3D5EC0FA"/>
    <w:rsid w:val="3FB85FF6"/>
    <w:rsid w:val="40659A53"/>
    <w:rsid w:val="40A7FE68"/>
    <w:rsid w:val="40ED3EE8"/>
    <w:rsid w:val="4293E694"/>
    <w:rsid w:val="458CCD43"/>
    <w:rsid w:val="459ED020"/>
    <w:rsid w:val="46929195"/>
    <w:rsid w:val="47E7B6E3"/>
    <w:rsid w:val="48E73A13"/>
    <w:rsid w:val="4B3D5D8F"/>
    <w:rsid w:val="4CCE0E54"/>
    <w:rsid w:val="4CED5932"/>
    <w:rsid w:val="4D792D88"/>
    <w:rsid w:val="4EA4CBE4"/>
    <w:rsid w:val="50A2AFEA"/>
    <w:rsid w:val="52183F97"/>
    <w:rsid w:val="527FBCD0"/>
    <w:rsid w:val="541DC8B5"/>
    <w:rsid w:val="553DB2F4"/>
    <w:rsid w:val="557A91CC"/>
    <w:rsid w:val="55F8E909"/>
    <w:rsid w:val="56058FE3"/>
    <w:rsid w:val="568F8E0F"/>
    <w:rsid w:val="573DDE0A"/>
    <w:rsid w:val="58A592BA"/>
    <w:rsid w:val="5ADC711F"/>
    <w:rsid w:val="5B82F1A0"/>
    <w:rsid w:val="5BE6D6AB"/>
    <w:rsid w:val="5BE98C47"/>
    <w:rsid w:val="5E3AB532"/>
    <w:rsid w:val="5F9BBBC4"/>
    <w:rsid w:val="62AB328D"/>
    <w:rsid w:val="644AFD5E"/>
    <w:rsid w:val="65037476"/>
    <w:rsid w:val="6577BA79"/>
    <w:rsid w:val="6624DF36"/>
    <w:rsid w:val="66714CB7"/>
    <w:rsid w:val="6804AB73"/>
    <w:rsid w:val="68DDC34B"/>
    <w:rsid w:val="691D693F"/>
    <w:rsid w:val="6931390A"/>
    <w:rsid w:val="69D3A02E"/>
    <w:rsid w:val="6A05176D"/>
    <w:rsid w:val="70723E40"/>
    <w:rsid w:val="70C83EEF"/>
    <w:rsid w:val="70F62FA3"/>
    <w:rsid w:val="71784D4B"/>
    <w:rsid w:val="724C5E1A"/>
    <w:rsid w:val="734E57EF"/>
    <w:rsid w:val="739DF293"/>
    <w:rsid w:val="741EC532"/>
    <w:rsid w:val="768EBCA5"/>
    <w:rsid w:val="768EEF7F"/>
    <w:rsid w:val="76F8AB88"/>
    <w:rsid w:val="77885051"/>
    <w:rsid w:val="78908857"/>
    <w:rsid w:val="79EEE89D"/>
    <w:rsid w:val="7A4171CF"/>
    <w:rsid w:val="7A6B8C6A"/>
    <w:rsid w:val="7B484E80"/>
    <w:rsid w:val="7D915489"/>
    <w:rsid w:val="7EFA3AEE"/>
    <w:rsid w:val="7F4FB99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A15C43"/>
  <w15:docId w15:val="{0651060B-A557-4369-9E86-551AE0FAA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autoRedefine/>
    <w:uiPriority w:val="9"/>
    <w:qFormat/>
    <w:rsid w:val="00E63C4F"/>
    <w:pPr>
      <w:keepNext/>
      <w:keepLines/>
      <w:spacing w:before="600" w:after="240" w:line="480" w:lineRule="auto"/>
      <w:jc w:val="center"/>
      <w:outlineLvl w:val="0"/>
    </w:pPr>
    <w:rPr>
      <w:b/>
      <w:bCs/>
      <w:color w:val="D09E00"/>
      <w:sz w:val="24"/>
      <w:szCs w:val="48"/>
    </w:rPr>
  </w:style>
  <w:style w:type="paragraph" w:styleId="Ttulo2">
    <w:name w:val="heading 2"/>
    <w:basedOn w:val="Normal"/>
    <w:next w:val="Normal"/>
    <w:uiPriority w:val="9"/>
    <w:unhideWhenUsed/>
    <w:qFormat/>
    <w:rsid w:val="007430F3"/>
    <w:pPr>
      <w:keepNext/>
      <w:keepLines/>
      <w:spacing w:before="360" w:after="80" w:line="360" w:lineRule="auto"/>
      <w:outlineLvl w:val="1"/>
    </w:pPr>
    <w:rPr>
      <w:b/>
      <w:bCs/>
      <w:color w:val="D09E00"/>
      <w:sz w:val="24"/>
      <w:szCs w:val="36"/>
    </w:rPr>
  </w:style>
  <w:style w:type="paragraph" w:styleId="Ttulo3">
    <w:name w:val="heading 3"/>
    <w:basedOn w:val="Normal"/>
    <w:next w:val="Normal"/>
    <w:uiPriority w:val="9"/>
    <w:unhideWhenUsed/>
    <w:qFormat/>
    <w:rsid w:val="007430F3"/>
    <w:pPr>
      <w:keepNext/>
      <w:keepLines/>
      <w:spacing w:before="280" w:after="80" w:line="360" w:lineRule="auto"/>
      <w:outlineLvl w:val="2"/>
    </w:pPr>
    <w:rPr>
      <w:b/>
      <w:bCs/>
      <w:sz w:val="24"/>
      <w:szCs w:val="28"/>
    </w:rPr>
  </w:style>
  <w:style w:type="paragraph" w:styleId="Ttulo4">
    <w:name w:val="heading 4"/>
    <w:basedOn w:val="Normal"/>
    <w:next w:val="Normal"/>
    <w:uiPriority w:val="9"/>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Prrafodelista">
    <w:name w:val="List Paragraph"/>
    <w:basedOn w:val="Normal"/>
    <w:uiPriority w:val="34"/>
    <w:qFormat/>
    <w:rsid w:val="003D6D42"/>
    <w:pPr>
      <w:ind w:left="720"/>
      <w:contextualSpacing/>
    </w:pPr>
  </w:style>
  <w:style w:type="character" w:styleId="Hipervnculo">
    <w:name w:val="Hyperlink"/>
    <w:basedOn w:val="Fuentedeprrafopredeter"/>
    <w:uiPriority w:val="99"/>
    <w:unhideWhenUsed/>
    <w:rsid w:val="006E1E21"/>
    <w:rPr>
      <w:color w:val="0000FF" w:themeColor="hyperlink"/>
      <w:u w:val="single"/>
    </w:rPr>
  </w:style>
  <w:style w:type="character" w:styleId="Mencinsinresolver">
    <w:name w:val="Unresolved Mention"/>
    <w:basedOn w:val="Fuentedeprrafopredeter"/>
    <w:uiPriority w:val="99"/>
    <w:semiHidden/>
    <w:unhideWhenUsed/>
    <w:rsid w:val="006E1E21"/>
    <w:rPr>
      <w:color w:val="605E5C"/>
      <w:shd w:val="clear" w:color="auto" w:fill="E1DFDD"/>
    </w:rPr>
  </w:style>
  <w:style w:type="character" w:customStyle="1" w:styleId="normaltextrun">
    <w:name w:val="normaltextrun"/>
    <w:basedOn w:val="Fuentedeprrafopredeter"/>
    <w:rsid w:val="006E1E21"/>
  </w:style>
  <w:style w:type="table" w:styleId="Tablaconcuadrcula1clara-nfasis6">
    <w:name w:val="Grid Table 1 Light Accent 6"/>
    <w:basedOn w:val="Tablanormal"/>
    <w:uiPriority w:val="46"/>
    <w:rsid w:val="006E1E21"/>
    <w:pPr>
      <w:spacing w:after="0"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Tablaconcuadrcula4-nfasis6">
    <w:name w:val="Grid Table 4 Accent 6"/>
    <w:basedOn w:val="TableNormal"/>
    <w:uiPriority w:val="49"/>
    <w:rsid w:val="00AF6AD4"/>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Tablaconcuadrcula3-nfasis4">
    <w:name w:val="Grid Table 3 Accent 4"/>
    <w:basedOn w:val="TableNormal"/>
    <w:uiPriority w:val="48"/>
    <w:rsid w:val="009A211A"/>
    <w:pPr>
      <w:spacing w:after="0" w:line="240" w:lineRule="auto"/>
    </w:p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paragraph" w:styleId="TtuloTDC">
    <w:name w:val="TOC Heading"/>
    <w:basedOn w:val="Ttulo1"/>
    <w:next w:val="Normal"/>
    <w:uiPriority w:val="39"/>
    <w:unhideWhenUsed/>
    <w:qFormat/>
    <w:rsid w:val="00B676BC"/>
    <w:pPr>
      <w:spacing w:before="240" w:after="0" w:line="259" w:lineRule="auto"/>
      <w:outlineLvl w:val="9"/>
    </w:pPr>
    <w:rPr>
      <w:rFonts w:asciiTheme="majorHAnsi" w:eastAsiaTheme="majorEastAsia" w:hAnsiTheme="majorHAnsi" w:cstheme="majorBidi"/>
      <w:b w:val="0"/>
      <w:bCs w:val="0"/>
      <w:color w:val="365F91" w:themeColor="accent1" w:themeShade="BF"/>
      <w:sz w:val="32"/>
      <w:szCs w:val="32"/>
    </w:rPr>
  </w:style>
  <w:style w:type="paragraph" w:styleId="TDC1">
    <w:name w:val="toc 1"/>
    <w:basedOn w:val="Normal"/>
    <w:next w:val="Normal"/>
    <w:autoRedefine/>
    <w:uiPriority w:val="39"/>
    <w:unhideWhenUsed/>
    <w:rsid w:val="00B676BC"/>
    <w:pPr>
      <w:spacing w:after="100"/>
    </w:pPr>
  </w:style>
  <w:style w:type="paragraph" w:styleId="TDC3">
    <w:name w:val="toc 3"/>
    <w:basedOn w:val="Normal"/>
    <w:next w:val="Normal"/>
    <w:autoRedefine/>
    <w:uiPriority w:val="39"/>
    <w:unhideWhenUsed/>
    <w:rsid w:val="00023C84"/>
    <w:pPr>
      <w:spacing w:after="100"/>
      <w:ind w:left="440"/>
    </w:pPr>
  </w:style>
  <w:style w:type="paragraph" w:styleId="TDC2">
    <w:name w:val="toc 2"/>
    <w:basedOn w:val="Normal"/>
    <w:next w:val="Normal"/>
    <w:autoRedefine/>
    <w:uiPriority w:val="39"/>
    <w:unhideWhenUsed/>
    <w:rsid w:val="00023C84"/>
    <w:pPr>
      <w:spacing w:after="100"/>
      <w:ind w:left="220"/>
    </w:pPr>
  </w:style>
  <w:style w:type="table" w:styleId="Tablaconcuadrcula2-nfasis6">
    <w:name w:val="Grid Table 2 Accent 6"/>
    <w:basedOn w:val="Tablanormal"/>
    <w:uiPriority w:val="47"/>
    <w:rsid w:val="00EE3A38"/>
    <w:pPr>
      <w:spacing w:after="0"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96652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posiciones/Proposici%C3%B3n%20014%20de%202025%20%E2%80%93%20Presupuesto%20sector%20minero-energ%C3%A9tico.pdf?csf=1&amp;web=1&amp;e=lBaBOg" TargetMode="External"/><Relationship Id="rId39" Type="http://schemas.openxmlformats.org/officeDocument/2006/relationships/fontTable" Target="fontTable.xml"/><Relationship Id="rId21" Type="http://schemas.openxmlformats.org/officeDocument/2006/relationships/hyperlink" Target="https://www.youtube.com/watch?v=_zrGDJNUG7c" TargetMode="External"/><Relationship Id="rId34"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yectos%20de%20ley%20asociados%20a%20TEJ/PL%20176%20de%202025%20-%20biogas.pdf?csf=1&amp;web=1&amp;e=0loChA"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posiciones/Proposici%C3%B3n%20013%20de%202024%20%E2%80%93%20TEJ%20y%20abastecimiento%20de%20gas.pdf?csf=1&amp;web=1&amp;e=207UKu" TargetMode="External"/><Relationship Id="rId33"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yectos%20de%20ley%20asociados%20a%20TEJ/PL%20134%20de%202024%20-%20Integraci%C3%B3n%20vertical.pdf?csf=1&amp;web=1&amp;e=ywjegF" TargetMode="External"/><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posiciones/Proposici%C3%B3n%20036%20de%202025%20-%20Situaci%C3%B3n%20del%20gas%20natural.pdf?csf=1&amp;web=1&amp;e=ab5h6i"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youtube.com/watch?v=lNnxjUTdUZg" TargetMode="External"/><Relationship Id="rId32"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yectos%20de%20ley%20asociados%20a%20TEJ/PL%20224%20de%202024%20-%20Ley%20de%20econom%C3%ADa%20azul.pdf?csf=1&amp;web=1&amp;e=hFoKrm" TargetMode="External"/><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posiciones/Proposici%C3%B3n%20011%20de%202024%20%E2%80%93%20Tarifas%20en%20el%20servicio%20de%20energ%C3%ADa%20el%C3%A9ctrica%20(parte%202).pdf?csf=1&amp;web=1&amp;e=cjz8ZL" TargetMode="External"/><Relationship Id="rId28"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posiciones/Proposici%C3%B3n%20033%20de%202025%20-%20Informe%20sector%20minero.pdf?csf=1&amp;web=1&amp;e=3Zek3q" TargetMode="External"/><Relationship Id="rId36"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yectos%20de%20ley%20asociados%20a%20TEJ/PL%20282%20de%202025%20-%20Nueva%20ley%20minera.pdf?csf=1&amp;web=1&amp;e=ifiQQ4" TargetMode="Externa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yectos%20de%20ley%20asociados%20a%20TEJ/PL%20134%20de%202024.pdf?csf=1&amp;web=1&amp;e=BX4bW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posiciones/Proposici%C3%B3n%20011%20de%202024%20%E2%80%93%20Tarifas%20en%20el%20servicio%20de%20energ%C3%ADa%20el%C3%A9ctrica%20(parte%201).pdf?csf=1&amp;web=1&amp;e=XgjiDK" TargetMode="External"/><Relationship Id="rId27"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posiciones/Proposici%C3%B3n%20023%20de%202025%20%E2%80%93%20Avances%20en%20la%20TEJ.pdf?csf=1&amp;web=1&amp;e=pdq6iu" TargetMode="External"/><Relationship Id="rId30"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posiciones/Proposici%C3%B3n%20191%20de%202025%20-%20Cierre%20PRODECO.pdf?csf=1&amp;web=1&amp;e=DPY6RE" TargetMode="External"/><Relationship Id="rId35"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yectos%20de%20ley%20asociados%20a%20TEJ/PL%20294%20de%202025%20-%20Prohibici%C3%B3n%20de%20fracking.pdf?csf=1&amp;web=1&amp;e=8naVAi"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fb82d92b-cce1-4865-9e40-015a6266df31" xsi:nil="true"/>
    <lcf76f155ced4ddcb4097134ff3c332f xmlns="38d40274-ed19-48ce-a15e-e059463c177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05CCD901C4501449A86A24F4F0AC0678" ma:contentTypeVersion="18" ma:contentTypeDescription="Create a new document." ma:contentTypeScope="" ma:versionID="0dfda8942a5c79331ee6e0d1f814189e">
  <xsd:schema xmlns:xsd="http://www.w3.org/2001/XMLSchema" xmlns:xs="http://www.w3.org/2001/XMLSchema" xmlns:p="http://schemas.microsoft.com/office/2006/metadata/properties" xmlns:ns2="38d40274-ed19-48ce-a15e-e059463c1775" xmlns:ns3="fb82d92b-cce1-4865-9e40-015a6266df31" targetNamespace="http://schemas.microsoft.com/office/2006/metadata/properties" ma:root="true" ma:fieldsID="4d313df37cc51e578daa7f6737a4aa7e" ns2:_="" ns3:_="">
    <xsd:import namespace="38d40274-ed19-48ce-a15e-e059463c1775"/>
    <xsd:import namespace="fb82d92b-cce1-4865-9e40-015a6266df3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DateTaken"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d40274-ed19-48ce-a15e-e059463c177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Location" ma:index="23" nillable="true" ma:displayName="Location" ma:descrip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b82d92b-cce1-4865-9e40-015a6266df3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62cf36f9-85c4-45f3-b290-a3d33fbf27e1}" ma:internalName="TaxCatchAll" ma:showField="CatchAllData" ma:web="fb82d92b-cce1-4865-9e40-015a6266df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D2D617-AC4E-4F37-8F73-C5D1B2A5EB60}">
  <ds:schemaRefs>
    <ds:schemaRef ds:uri="http://schemas.microsoft.com/office/2006/metadata/properties"/>
    <ds:schemaRef ds:uri="http://schemas.microsoft.com/office/infopath/2007/PartnerControls"/>
    <ds:schemaRef ds:uri="fb82d92b-cce1-4865-9e40-015a6266df31"/>
    <ds:schemaRef ds:uri="38d40274-ed19-48ce-a15e-e059463c1775"/>
  </ds:schemaRefs>
</ds:datastoreItem>
</file>

<file path=customXml/itemProps2.xml><?xml version="1.0" encoding="utf-8"?>
<ds:datastoreItem xmlns:ds="http://schemas.openxmlformats.org/officeDocument/2006/customXml" ds:itemID="{31D55502-FB41-4821-B30A-E8B0CE7C2F62}">
  <ds:schemaRefs>
    <ds:schemaRef ds:uri="http://schemas.microsoft.com/sharepoint/v3/contenttype/forms"/>
  </ds:schemaRefs>
</ds:datastoreItem>
</file>

<file path=customXml/itemProps3.xml><?xml version="1.0" encoding="utf-8"?>
<ds:datastoreItem xmlns:ds="http://schemas.openxmlformats.org/officeDocument/2006/customXml" ds:itemID="{630F767F-B516-4061-A751-956715D2373A}">
  <ds:schemaRefs>
    <ds:schemaRef ds:uri="http://schemas.openxmlformats.org/officeDocument/2006/bibliography"/>
  </ds:schemaRefs>
</ds:datastoreItem>
</file>

<file path=customXml/itemProps4.xml><?xml version="1.0" encoding="utf-8"?>
<ds:datastoreItem xmlns:ds="http://schemas.openxmlformats.org/officeDocument/2006/customXml" ds:itemID="{CD351752-7DB6-45B5-BC75-7C7FA7EFC3A3}"/>
</file>

<file path=docProps/app.xml><?xml version="1.0" encoding="utf-8"?>
<Properties xmlns="http://schemas.openxmlformats.org/officeDocument/2006/extended-properties" xmlns:vt="http://schemas.openxmlformats.org/officeDocument/2006/docPropsVTypes">
  <Template>Normal</Template>
  <TotalTime>609</TotalTime>
  <Pages>81</Pages>
  <Words>33025</Words>
  <Characters>181642</Characters>
  <Application>Microsoft Office Word</Application>
  <DocSecurity>0</DocSecurity>
  <Lines>1513</Lines>
  <Paragraphs>428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214239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CLAUDIA MARCELA PINZON ROJAS</cp:lastModifiedBy>
  <cp:revision>113</cp:revision>
  <dcterms:created xsi:type="dcterms:W3CDTF">2026-03-17T14:30:00Z</dcterms:created>
  <dcterms:modified xsi:type="dcterms:W3CDTF">2026-07-14T16:23:00Z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0x01010005CCD901C4501449A86A24F4F0AC0678</vt:lpwstr>
  </property>
  <property fmtid="{D5CDD505-2E9C-101B-9397-08002B2CF9AE}" pid="3" name="MediaServiceImageTags">
    <vt:lpwstr/>
  </property>
</Properties>
</file>